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ind w:left="902" w:right="-1" w:hanging="902"/>
        <w:jc w:val="right"/>
        <w:rPr>
          <w:rFonts w:eastAsia="Calibri"/>
          <w:b/>
          <w:b/>
          <w:sz w:val="20"/>
          <w:szCs w:val="20"/>
          <w:lang w:eastAsia="lv-LV"/>
        </w:rPr>
      </w:pPr>
      <w:bookmarkStart w:id="0" w:name="_GoBack"/>
      <w:bookmarkEnd w:id="0"/>
      <w:r>
        <w:rPr>
          <w:rFonts w:eastAsia="Calibri"/>
          <w:b/>
          <w:sz w:val="20"/>
          <w:szCs w:val="20"/>
          <w:lang w:val="en-US" w:eastAsia="lv-LV"/>
        </w:rPr>
        <w:t xml:space="preserve"> </w:t>
      </w:r>
      <w:r>
        <w:rPr>
          <w:rFonts w:eastAsia="Calibri"/>
          <w:b/>
          <w:sz w:val="20"/>
          <w:szCs w:val="20"/>
          <w:lang w:eastAsia="lv-LV"/>
        </w:rPr>
        <w:t>APSTIPRINĀTS</w:t>
      </w:r>
    </w:p>
    <w:p>
      <w:pPr>
        <w:pStyle w:val="Normal"/>
        <w:widowControl w:val="false"/>
        <w:ind w:left="902" w:right="-1" w:hanging="902"/>
        <w:jc w:val="right"/>
        <w:rPr>
          <w:rFonts w:eastAsia="Calibri"/>
          <w:sz w:val="20"/>
          <w:szCs w:val="20"/>
          <w:lang w:eastAsia="lv-LV"/>
        </w:rPr>
      </w:pPr>
      <w:r>
        <w:rPr>
          <w:sz w:val="20"/>
          <w:szCs w:val="20"/>
        </w:rPr>
        <w:t xml:space="preserve">SIA ”LATGALES NAMU APSAIMNIEKOTĀJS” </w:t>
      </w:r>
      <w:r>
        <w:rPr>
          <w:rFonts w:eastAsia="Calibri"/>
          <w:sz w:val="20"/>
          <w:szCs w:val="20"/>
          <w:lang w:eastAsia="lv-LV"/>
        </w:rPr>
        <w:t>valdes sēdē</w:t>
      </w:r>
    </w:p>
    <w:p>
      <w:pPr>
        <w:pStyle w:val="Normal"/>
        <w:widowControl w:val="false"/>
        <w:ind w:left="902" w:right="-1" w:hanging="902"/>
        <w:jc w:val="right"/>
        <w:rPr>
          <w:highlight w:val="none"/>
          <w:shd w:fill="auto" w:val="clear"/>
        </w:rPr>
      </w:pPr>
      <w:r>
        <w:rPr>
          <w:rFonts w:eastAsia="Calibri"/>
          <w:sz w:val="20"/>
          <w:szCs w:val="20"/>
          <w:shd w:fill="auto" w:val="clear"/>
          <w:lang w:eastAsia="lv-LV"/>
        </w:rPr>
        <w:t>2026.gada 11.maijā</w:t>
      </w:r>
    </w:p>
    <w:p>
      <w:pPr>
        <w:pStyle w:val="Normal"/>
        <w:ind w:left="0" w:right="-1" w:hanging="0"/>
        <w:jc w:val="right"/>
        <w:rPr>
          <w:b/>
          <w:b/>
          <w:sz w:val="20"/>
          <w:szCs w:val="20"/>
        </w:rPr>
      </w:pPr>
      <w:r>
        <w:rPr>
          <w:rFonts w:eastAsia="Calibri"/>
          <w:sz w:val="20"/>
          <w:szCs w:val="20"/>
          <w:lang w:eastAsia="lv-LV"/>
        </w:rPr>
        <w:t>Pielikums Nr.9</w:t>
      </w:r>
    </w:p>
    <w:p>
      <w:pPr>
        <w:pStyle w:val="Normal"/>
        <w:ind w:left="0" w:right="-1" w:hanging="0"/>
        <w:jc w:val="center"/>
        <w:rPr>
          <w:b/>
          <w:b/>
          <w:sz w:val="24"/>
        </w:rPr>
      </w:pPr>
      <w:r>
        <w:rPr>
          <w:b/>
          <w:sz w:val="24"/>
        </w:rPr>
      </w:r>
    </w:p>
    <w:p>
      <w:pPr>
        <w:pStyle w:val="Normal"/>
        <w:ind w:left="0" w:right="-1" w:hanging="0"/>
        <w:jc w:val="center"/>
        <w:rPr>
          <w:b/>
          <w:b/>
          <w:sz w:val="24"/>
        </w:rPr>
      </w:pPr>
      <w:r>
        <w:rPr>
          <w:b/>
          <w:sz w:val="24"/>
        </w:rPr>
        <w:t>Piegādātāja izvēles nolikums</w:t>
      </w:r>
    </w:p>
    <w:p>
      <w:pPr>
        <w:pStyle w:val="Normal"/>
        <w:ind w:left="0" w:right="-1" w:hanging="0"/>
        <w:jc w:val="center"/>
        <w:rPr>
          <w:b/>
          <w:b/>
          <w:sz w:val="24"/>
        </w:rPr>
      </w:pPr>
      <w:bookmarkStart w:id="1" w:name="_Hlk508274053"/>
      <w:r>
        <w:rPr>
          <w:b/>
          <w:sz w:val="24"/>
        </w:rPr>
        <w:t>“</w:t>
      </w:r>
      <w:r>
        <w:rPr>
          <w:b/>
          <w:bCs/>
          <w:sz w:val="24"/>
        </w:rPr>
        <w:t>Dzīvojamās mājas jumta seguma atjaunošana, Atbrīvošanas aleja 121, Rēzekne</w:t>
      </w:r>
      <w:r>
        <w:rPr>
          <w:b/>
          <w:sz w:val="24"/>
        </w:rPr>
        <w:t>”</w:t>
      </w:r>
      <w:bookmarkEnd w:id="1"/>
    </w:p>
    <w:p>
      <w:pPr>
        <w:pStyle w:val="Nosaukums"/>
        <w:ind w:left="0" w:right="-1" w:hanging="0"/>
        <w:rPr>
          <w:b w:val="false"/>
          <w:b w:val="false"/>
          <w:bCs w:val="false"/>
          <w:sz w:val="24"/>
        </w:rPr>
      </w:pPr>
      <w:r>
        <w:rPr>
          <w:b w:val="false"/>
          <w:bCs w:val="false"/>
          <w:sz w:val="24"/>
        </w:rPr>
      </w:r>
    </w:p>
    <w:p>
      <w:pPr>
        <w:pStyle w:val="Virsraksts1"/>
        <w:numPr>
          <w:ilvl w:val="0"/>
          <w:numId w:val="3"/>
        </w:numPr>
        <w:tabs>
          <w:tab w:val="clear" w:pos="567"/>
        </w:tabs>
        <w:spacing w:before="0" w:after="240"/>
        <w:ind w:left="420" w:right="-284" w:hanging="420"/>
        <w:jc w:val="center"/>
        <w:rPr>
          <w:sz w:val="22"/>
          <w:szCs w:val="22"/>
        </w:rPr>
      </w:pPr>
      <w:bookmarkStart w:id="2" w:name="_Toc497742065"/>
      <w:bookmarkStart w:id="3" w:name="_Toc1555607"/>
      <w:bookmarkStart w:id="4" w:name="_Toc1796625"/>
      <w:bookmarkStart w:id="5" w:name="_Toc1959895"/>
      <w:bookmarkStart w:id="6" w:name="_Toc1796768"/>
      <w:bookmarkStart w:id="7" w:name="_Toc2562506"/>
      <w:bookmarkStart w:id="8" w:name="_Toc139176789"/>
      <w:bookmarkStart w:id="9" w:name="_Toc535824943"/>
      <w:bookmarkEnd w:id="3"/>
      <w:bookmarkEnd w:id="4"/>
      <w:bookmarkEnd w:id="5"/>
      <w:bookmarkEnd w:id="6"/>
      <w:bookmarkEnd w:id="7"/>
      <w:bookmarkEnd w:id="8"/>
      <w:bookmarkEnd w:id="9"/>
      <w:r>
        <w:rPr>
          <w:sz w:val="22"/>
          <w:szCs w:val="22"/>
        </w:rPr>
        <w:t>Vispārīga informācija</w:t>
      </w:r>
      <w:bookmarkEnd w:id="2"/>
    </w:p>
    <w:p>
      <w:pPr>
        <w:pStyle w:val="Normal"/>
        <w:numPr>
          <w:ilvl w:val="1"/>
          <w:numId w:val="3"/>
        </w:numPr>
        <w:tabs>
          <w:tab w:val="clear" w:pos="851"/>
          <w:tab w:val="left" w:pos="540" w:leader="none"/>
        </w:tabs>
        <w:suppressAutoHyphens w:val="true"/>
        <w:ind w:left="426" w:right="0" w:hanging="426"/>
        <w:jc w:val="both"/>
        <w:rPr>
          <w:sz w:val="22"/>
          <w:szCs w:val="22"/>
        </w:rPr>
      </w:pPr>
      <w:r>
        <w:rPr>
          <w:sz w:val="22"/>
          <w:szCs w:val="22"/>
        </w:rPr>
        <w:t>Informācija par Pasūtītāju:</w:t>
      </w:r>
    </w:p>
    <w:tbl>
      <w:tblPr>
        <w:tblStyle w:val="40"/>
        <w:tblW w:w="8096" w:type="dxa"/>
        <w:jc w:val="left"/>
        <w:tblInd w:w="426" w:type="dxa"/>
        <w:tblLayout w:type="fixed"/>
        <w:tblCellMar>
          <w:top w:w="0" w:type="dxa"/>
          <w:left w:w="108" w:type="dxa"/>
          <w:bottom w:w="0" w:type="dxa"/>
          <w:right w:w="108" w:type="dxa"/>
        </w:tblCellMar>
      </w:tblPr>
      <w:tblGrid>
        <w:gridCol w:w="2831"/>
        <w:gridCol w:w="5264"/>
      </w:tblGrid>
      <w:tr>
        <w:trPr/>
        <w:tc>
          <w:tcPr>
            <w:tcW w:w="2831" w:type="dxa"/>
            <w:tcBorders/>
          </w:tcPr>
          <w:p>
            <w:pPr>
              <w:pStyle w:val="Normal"/>
              <w:widowControl w:val="false"/>
              <w:tabs>
                <w:tab w:val="clear" w:pos="851"/>
                <w:tab w:val="left" w:pos="540" w:leader="none"/>
              </w:tabs>
              <w:suppressAutoHyphens w:val="true"/>
              <w:spacing w:before="0" w:after="0"/>
              <w:jc w:val="both"/>
              <w:rPr>
                <w:sz w:val="22"/>
                <w:szCs w:val="22"/>
              </w:rPr>
            </w:pPr>
            <w:r>
              <w:rPr>
                <w:rFonts w:eastAsia="Calibri" w:eastAsiaTheme="minorHAnsi"/>
                <w:b/>
                <w:bCs/>
                <w:color w:val="000000"/>
                <w:kern w:val="0"/>
                <w:sz w:val="22"/>
                <w:szCs w:val="22"/>
              </w:rPr>
              <w:t>Pasūtītāja nosaukums:</w:t>
            </w:r>
          </w:p>
        </w:tc>
        <w:tc>
          <w:tcPr>
            <w:tcW w:w="5264" w:type="dxa"/>
            <w:tcBorders/>
          </w:tcPr>
          <w:p>
            <w:pPr>
              <w:pStyle w:val="Normal"/>
              <w:widowControl w:val="false"/>
              <w:suppressAutoHyphens w:val="true"/>
              <w:spacing w:before="0" w:after="0"/>
              <w:ind w:left="0" w:right="-284" w:hanging="0"/>
              <w:jc w:val="both"/>
              <w:rPr>
                <w:sz w:val="22"/>
                <w:szCs w:val="22"/>
              </w:rPr>
            </w:pPr>
            <w:r>
              <w:rPr>
                <w:kern w:val="0"/>
                <w:sz w:val="22"/>
                <w:szCs w:val="22"/>
              </w:rPr>
              <w:t>SIA ”LATGALES NAMU APSAIMNIEKOTĀJS”</w:t>
            </w:r>
          </w:p>
        </w:tc>
      </w:tr>
      <w:tr>
        <w:trPr/>
        <w:tc>
          <w:tcPr>
            <w:tcW w:w="2831" w:type="dxa"/>
            <w:tcBorders/>
          </w:tcPr>
          <w:p>
            <w:pPr>
              <w:pStyle w:val="Normal"/>
              <w:widowControl w:val="false"/>
              <w:tabs>
                <w:tab w:val="clear" w:pos="851"/>
                <w:tab w:val="left" w:pos="540" w:leader="none"/>
              </w:tabs>
              <w:suppressAutoHyphens w:val="true"/>
              <w:spacing w:before="0" w:after="0"/>
              <w:jc w:val="both"/>
              <w:rPr>
                <w:sz w:val="22"/>
                <w:szCs w:val="22"/>
              </w:rPr>
            </w:pPr>
            <w:r>
              <w:rPr>
                <w:rFonts w:eastAsia="Calibri" w:eastAsiaTheme="minorHAnsi"/>
                <w:b/>
                <w:bCs/>
                <w:color w:val="000000"/>
                <w:kern w:val="0"/>
                <w:sz w:val="22"/>
                <w:szCs w:val="22"/>
              </w:rPr>
              <w:t>Juridiskā adrese:</w:t>
            </w:r>
          </w:p>
        </w:tc>
        <w:tc>
          <w:tcPr>
            <w:tcW w:w="5264" w:type="dxa"/>
            <w:tcBorders/>
          </w:tcPr>
          <w:p>
            <w:pPr>
              <w:pStyle w:val="Normal"/>
              <w:widowControl w:val="false"/>
              <w:suppressAutoHyphens w:val="true"/>
              <w:spacing w:before="0" w:after="0"/>
              <w:ind w:left="0" w:right="-284" w:hanging="0"/>
              <w:jc w:val="both"/>
              <w:rPr>
                <w:sz w:val="22"/>
                <w:szCs w:val="22"/>
              </w:rPr>
            </w:pPr>
            <w:r>
              <w:rPr>
                <w:kern w:val="0"/>
                <w:sz w:val="22"/>
                <w:szCs w:val="22"/>
              </w:rPr>
              <w:t>Ziepniekkalna iela 64 k-1-8, Rīga, LV-1076</w:t>
            </w:r>
          </w:p>
        </w:tc>
      </w:tr>
      <w:tr>
        <w:trPr/>
        <w:tc>
          <w:tcPr>
            <w:tcW w:w="2831" w:type="dxa"/>
            <w:tcBorders/>
          </w:tcPr>
          <w:p>
            <w:pPr>
              <w:pStyle w:val="Normal"/>
              <w:widowControl w:val="false"/>
              <w:tabs>
                <w:tab w:val="clear" w:pos="851"/>
                <w:tab w:val="left" w:pos="540" w:leader="none"/>
              </w:tabs>
              <w:suppressAutoHyphens w:val="true"/>
              <w:spacing w:before="0" w:after="0"/>
              <w:jc w:val="both"/>
              <w:rPr>
                <w:sz w:val="22"/>
                <w:szCs w:val="22"/>
              </w:rPr>
            </w:pPr>
            <w:r>
              <w:rPr>
                <w:rFonts w:eastAsia="Calibri" w:eastAsiaTheme="minorHAnsi"/>
                <w:b/>
                <w:bCs/>
                <w:color w:val="000000"/>
                <w:kern w:val="0"/>
                <w:sz w:val="22"/>
                <w:szCs w:val="22"/>
              </w:rPr>
              <w:t>Reģistrācijas numurs:</w:t>
            </w:r>
          </w:p>
        </w:tc>
        <w:tc>
          <w:tcPr>
            <w:tcW w:w="5264" w:type="dxa"/>
            <w:tcBorders/>
          </w:tcPr>
          <w:p>
            <w:pPr>
              <w:pStyle w:val="Normal"/>
              <w:widowControl w:val="false"/>
              <w:suppressAutoHyphens w:val="true"/>
              <w:spacing w:before="0" w:after="0"/>
              <w:ind w:left="0" w:right="-284" w:hanging="0"/>
              <w:jc w:val="both"/>
              <w:rPr>
                <w:sz w:val="22"/>
                <w:szCs w:val="22"/>
              </w:rPr>
            </w:pPr>
            <w:r>
              <w:rPr>
                <w:kern w:val="0"/>
                <w:sz w:val="22"/>
                <w:szCs w:val="22"/>
              </w:rPr>
              <w:t>42403014716</w:t>
            </w:r>
          </w:p>
        </w:tc>
      </w:tr>
      <w:tr>
        <w:trPr/>
        <w:tc>
          <w:tcPr>
            <w:tcW w:w="2831" w:type="dxa"/>
            <w:tcBorders/>
          </w:tcPr>
          <w:p>
            <w:pPr>
              <w:pStyle w:val="Normal"/>
              <w:widowControl w:val="false"/>
              <w:tabs>
                <w:tab w:val="clear" w:pos="851"/>
                <w:tab w:val="left" w:pos="540" w:leader="none"/>
              </w:tabs>
              <w:suppressAutoHyphens w:val="true"/>
              <w:spacing w:before="0" w:after="0"/>
              <w:jc w:val="both"/>
              <w:rPr>
                <w:sz w:val="22"/>
                <w:szCs w:val="22"/>
              </w:rPr>
            </w:pPr>
            <w:r>
              <w:rPr>
                <w:rFonts w:eastAsia="Calibri" w:eastAsiaTheme="minorHAnsi"/>
                <w:b/>
                <w:bCs/>
                <w:color w:val="000000"/>
                <w:kern w:val="0"/>
                <w:sz w:val="22"/>
                <w:szCs w:val="22"/>
              </w:rPr>
              <w:t>Tālrunis:</w:t>
            </w:r>
          </w:p>
        </w:tc>
        <w:tc>
          <w:tcPr>
            <w:tcW w:w="5264" w:type="dxa"/>
            <w:tcBorders/>
          </w:tcPr>
          <w:p>
            <w:pPr>
              <w:pStyle w:val="Normal"/>
              <w:widowControl w:val="false"/>
              <w:suppressAutoHyphens w:val="true"/>
              <w:spacing w:before="0" w:after="0"/>
              <w:ind w:left="0" w:right="-284" w:hanging="0"/>
              <w:jc w:val="both"/>
              <w:rPr>
                <w:sz w:val="22"/>
                <w:szCs w:val="22"/>
              </w:rPr>
            </w:pPr>
            <w:r>
              <w:rPr>
                <w:kern w:val="0"/>
                <w:sz w:val="22"/>
                <w:szCs w:val="22"/>
              </w:rPr>
              <w:t>+371 29285125</w:t>
            </w:r>
          </w:p>
        </w:tc>
      </w:tr>
      <w:tr>
        <w:trPr/>
        <w:tc>
          <w:tcPr>
            <w:tcW w:w="2831" w:type="dxa"/>
            <w:tcBorders/>
          </w:tcPr>
          <w:p>
            <w:pPr>
              <w:pStyle w:val="Normal"/>
              <w:widowControl w:val="false"/>
              <w:tabs>
                <w:tab w:val="clear" w:pos="851"/>
                <w:tab w:val="left" w:pos="540" w:leader="none"/>
              </w:tabs>
              <w:suppressAutoHyphens w:val="true"/>
              <w:spacing w:before="0" w:after="0"/>
              <w:jc w:val="both"/>
              <w:rPr>
                <w:sz w:val="22"/>
                <w:szCs w:val="22"/>
              </w:rPr>
            </w:pPr>
            <w:r>
              <w:rPr>
                <w:rFonts w:eastAsia="Calibri" w:eastAsiaTheme="minorHAnsi"/>
                <w:b/>
                <w:bCs/>
                <w:color w:val="000000"/>
                <w:kern w:val="0"/>
                <w:sz w:val="22"/>
                <w:szCs w:val="22"/>
              </w:rPr>
              <w:t>E – pasta adrese:</w:t>
            </w:r>
          </w:p>
        </w:tc>
        <w:tc>
          <w:tcPr>
            <w:tcW w:w="5264" w:type="dxa"/>
            <w:tcBorders/>
          </w:tcPr>
          <w:p>
            <w:pPr>
              <w:pStyle w:val="Normal"/>
              <w:widowControl w:val="false"/>
              <w:suppressAutoHyphens w:val="true"/>
              <w:spacing w:before="0" w:after="0"/>
              <w:ind w:left="0" w:right="-284" w:hanging="0"/>
              <w:jc w:val="both"/>
              <w:rPr>
                <w:sz w:val="22"/>
                <w:szCs w:val="22"/>
              </w:rPr>
            </w:pPr>
            <w:r>
              <w:rPr>
                <w:kern w:val="0"/>
                <w:sz w:val="22"/>
                <w:szCs w:val="22"/>
              </w:rPr>
              <w:t>latna@inbox.lv</w:t>
            </w:r>
          </w:p>
        </w:tc>
      </w:tr>
      <w:tr>
        <w:trPr/>
        <w:tc>
          <w:tcPr>
            <w:tcW w:w="2831" w:type="dxa"/>
            <w:tcBorders/>
          </w:tcPr>
          <w:p>
            <w:pPr>
              <w:pStyle w:val="Normal"/>
              <w:widowControl w:val="false"/>
              <w:tabs>
                <w:tab w:val="clear" w:pos="851"/>
                <w:tab w:val="left" w:pos="540" w:leader="none"/>
              </w:tabs>
              <w:suppressAutoHyphens w:val="true"/>
              <w:spacing w:before="0" w:after="0"/>
              <w:jc w:val="both"/>
              <w:rPr>
                <w:sz w:val="22"/>
                <w:szCs w:val="22"/>
              </w:rPr>
            </w:pPr>
            <w:r>
              <w:rPr>
                <w:rFonts w:eastAsia="Calibri" w:eastAsiaTheme="minorHAnsi"/>
                <w:b/>
                <w:bCs/>
                <w:color w:val="000000"/>
                <w:kern w:val="0"/>
                <w:sz w:val="22"/>
                <w:szCs w:val="22"/>
              </w:rPr>
              <w:t>Mājas lapas adrese:</w:t>
            </w:r>
          </w:p>
        </w:tc>
        <w:tc>
          <w:tcPr>
            <w:tcW w:w="5264" w:type="dxa"/>
            <w:tcBorders/>
          </w:tcPr>
          <w:p>
            <w:pPr>
              <w:pStyle w:val="Normal"/>
              <w:widowControl w:val="false"/>
              <w:suppressAutoHyphens w:val="true"/>
              <w:spacing w:before="0" w:after="0"/>
              <w:ind w:left="0" w:right="-284" w:hanging="0"/>
              <w:jc w:val="both"/>
              <w:rPr>
                <w:sz w:val="22"/>
                <w:szCs w:val="22"/>
              </w:rPr>
            </w:pPr>
            <w:r>
              <w:rPr>
                <w:kern w:val="0"/>
                <w:sz w:val="22"/>
                <w:szCs w:val="22"/>
              </w:rPr>
              <w:t>nav</w:t>
            </w:r>
          </w:p>
        </w:tc>
      </w:tr>
      <w:tr>
        <w:trPr/>
        <w:tc>
          <w:tcPr>
            <w:tcW w:w="2831" w:type="dxa"/>
            <w:tcBorders/>
          </w:tcPr>
          <w:p>
            <w:pPr>
              <w:pStyle w:val="Normal"/>
              <w:widowControl w:val="false"/>
              <w:tabs>
                <w:tab w:val="clear" w:pos="851"/>
                <w:tab w:val="left" w:pos="540" w:leader="none"/>
              </w:tabs>
              <w:suppressAutoHyphens w:val="true"/>
              <w:spacing w:before="0" w:after="0"/>
              <w:jc w:val="both"/>
              <w:rPr>
                <w:b/>
                <w:b/>
                <w:sz w:val="22"/>
                <w:szCs w:val="22"/>
              </w:rPr>
            </w:pPr>
            <w:r>
              <w:rPr>
                <w:b/>
                <w:kern w:val="0"/>
                <w:sz w:val="22"/>
                <w:szCs w:val="22"/>
              </w:rPr>
              <w:t xml:space="preserve">Kontaktpersona: </w:t>
            </w:r>
          </w:p>
        </w:tc>
        <w:tc>
          <w:tcPr>
            <w:tcW w:w="5264" w:type="dxa"/>
            <w:tcBorders/>
          </w:tcPr>
          <w:p>
            <w:pPr>
              <w:pStyle w:val="Normal"/>
              <w:widowControl w:val="false"/>
              <w:tabs>
                <w:tab w:val="clear" w:pos="851"/>
                <w:tab w:val="left" w:pos="426" w:leader="none"/>
                <w:tab w:val="left" w:pos="540" w:leader="none"/>
              </w:tabs>
              <w:suppressAutoHyphens w:val="true"/>
              <w:spacing w:before="0" w:after="0"/>
              <w:ind w:left="426" w:right="-284" w:hanging="426"/>
              <w:jc w:val="both"/>
              <w:rPr>
                <w:sz w:val="22"/>
                <w:szCs w:val="22"/>
              </w:rPr>
            </w:pPr>
            <w:r>
              <w:rPr>
                <w:kern w:val="0"/>
                <w:sz w:val="22"/>
                <w:szCs w:val="22"/>
              </w:rPr>
              <w:t>Ilmārs Ostrovskis</w:t>
            </w:r>
          </w:p>
          <w:p>
            <w:pPr>
              <w:pStyle w:val="Normal"/>
              <w:widowControl w:val="false"/>
              <w:tabs>
                <w:tab w:val="clear" w:pos="851"/>
                <w:tab w:val="left" w:pos="426" w:leader="none"/>
                <w:tab w:val="left" w:pos="540" w:leader="none"/>
              </w:tabs>
              <w:suppressAutoHyphens w:val="true"/>
              <w:spacing w:before="0" w:after="0"/>
              <w:ind w:left="426" w:right="-284" w:hanging="426"/>
              <w:jc w:val="both"/>
              <w:rPr>
                <w:sz w:val="22"/>
                <w:szCs w:val="22"/>
              </w:rPr>
            </w:pPr>
            <w:r>
              <w:rPr>
                <w:kern w:val="0"/>
                <w:sz w:val="22"/>
                <w:szCs w:val="22"/>
              </w:rPr>
              <w:t>tālr. +371 29285125</w:t>
            </w:r>
          </w:p>
          <w:p>
            <w:pPr>
              <w:pStyle w:val="Normal"/>
              <w:widowControl w:val="false"/>
              <w:tabs>
                <w:tab w:val="clear" w:pos="851"/>
                <w:tab w:val="left" w:pos="426" w:leader="none"/>
                <w:tab w:val="left" w:pos="540" w:leader="none"/>
              </w:tabs>
              <w:suppressAutoHyphens w:val="true"/>
              <w:spacing w:before="0" w:after="0"/>
              <w:ind w:left="426" w:right="-284" w:hanging="426"/>
              <w:jc w:val="both"/>
              <w:rPr>
                <w:sz w:val="22"/>
                <w:szCs w:val="22"/>
              </w:rPr>
            </w:pPr>
            <w:r>
              <w:rPr>
                <w:kern w:val="0"/>
                <w:sz w:val="22"/>
                <w:szCs w:val="22"/>
              </w:rPr>
              <w:t>e-pasts: latna1@inbox.lv</w:t>
            </w:r>
          </w:p>
        </w:tc>
      </w:tr>
    </w:tbl>
    <w:p>
      <w:pPr>
        <w:pStyle w:val="Normal"/>
        <w:rPr>
          <w:sz w:val="22"/>
          <w:szCs w:val="22"/>
        </w:rPr>
      </w:pPr>
      <w:r>
        <w:rPr>
          <w:sz w:val="22"/>
          <w:szCs w:val="22"/>
        </w:rPr>
      </w:r>
    </w:p>
    <w:p>
      <w:pPr>
        <w:pStyle w:val="Virsraksts1"/>
        <w:keepLines/>
        <w:widowControl w:val="false"/>
        <w:numPr>
          <w:ilvl w:val="0"/>
          <w:numId w:val="3"/>
        </w:numPr>
        <w:tabs>
          <w:tab w:val="clear" w:pos="567"/>
        </w:tabs>
        <w:spacing w:before="40" w:after="40"/>
        <w:ind w:left="420" w:right="-79" w:hanging="420"/>
        <w:jc w:val="center"/>
        <w:rPr>
          <w:sz w:val="22"/>
          <w:szCs w:val="22"/>
        </w:rPr>
      </w:pPr>
      <w:r>
        <w:rPr>
          <w:sz w:val="22"/>
          <w:szCs w:val="22"/>
        </w:rPr>
        <w:t xml:space="preserve">Nolikums, saziņa ar ieinteresētajiem piegādātājiem, </w:t>
      </w:r>
    </w:p>
    <w:p>
      <w:pPr>
        <w:pStyle w:val="Virsraksts1"/>
        <w:keepLines/>
        <w:widowControl w:val="false"/>
        <w:numPr>
          <w:ilvl w:val="0"/>
          <w:numId w:val="0"/>
        </w:numPr>
        <w:tabs>
          <w:tab w:val="clear" w:pos="567"/>
        </w:tabs>
        <w:spacing w:before="40" w:after="40"/>
        <w:ind w:left="420" w:right="-79" w:hanging="0"/>
        <w:jc w:val="center"/>
        <w:rPr>
          <w:sz w:val="22"/>
          <w:szCs w:val="22"/>
        </w:rPr>
      </w:pPr>
      <w:r>
        <w:rPr>
          <w:sz w:val="22"/>
          <w:szCs w:val="22"/>
        </w:rPr>
        <w:t>piedāvājuma iesniegšana vieta, laiks un kārtība</w:t>
      </w:r>
    </w:p>
    <w:p>
      <w:pPr>
        <w:pStyle w:val="Punkts11"/>
        <w:numPr>
          <w:ilvl w:val="1"/>
          <w:numId w:val="3"/>
        </w:numPr>
        <w:tabs>
          <w:tab w:val="clear" w:pos="851"/>
        </w:tabs>
        <w:ind w:left="567" w:right="0" w:hanging="567"/>
        <w:rPr>
          <w:sz w:val="22"/>
          <w:szCs w:val="22"/>
        </w:rPr>
      </w:pPr>
      <w:r>
        <w:rPr>
          <w:sz w:val="22"/>
          <w:szCs w:val="22"/>
        </w:rPr>
        <w:t xml:space="preserve">Iepirkuma nolikums ar visiem pielikumiem ir brīvi pieejams Iepirkumu Uzraudzības biroja mājas lapā norādītajā tīmekļvietnē. </w:t>
      </w:r>
    </w:p>
    <w:p>
      <w:pPr>
        <w:pStyle w:val="Punkts11"/>
        <w:numPr>
          <w:ilvl w:val="1"/>
          <w:numId w:val="3"/>
        </w:numPr>
        <w:tabs>
          <w:tab w:val="clear" w:pos="851"/>
        </w:tabs>
        <w:ind w:left="567" w:right="0" w:hanging="567"/>
        <w:rPr>
          <w:sz w:val="22"/>
          <w:szCs w:val="22"/>
        </w:rPr>
      </w:pPr>
      <w:r>
        <w:rPr>
          <w:sz w:val="22"/>
          <w:szCs w:val="22"/>
        </w:rPr>
        <w:t xml:space="preserve">Pasūtītājs nav atbildīgs par to, ja kāda ieinteresētā persona nav iepazinusies ar informāciju, kam ir nodrošināta brīva un tieša elektroniskā pieeja. </w:t>
      </w:r>
    </w:p>
    <w:p>
      <w:pPr>
        <w:pStyle w:val="Punkts11"/>
        <w:numPr>
          <w:ilvl w:val="1"/>
          <w:numId w:val="3"/>
        </w:numPr>
        <w:tabs>
          <w:tab w:val="clear" w:pos="851"/>
        </w:tabs>
        <w:ind w:left="567" w:right="0" w:hanging="567"/>
        <w:rPr>
          <w:sz w:val="22"/>
          <w:szCs w:val="22"/>
        </w:rPr>
      </w:pPr>
      <w:r>
        <w:rPr>
          <w:sz w:val="22"/>
          <w:szCs w:val="22"/>
        </w:rPr>
        <w:t xml:space="preserve">Informācijas sniegšana un apmaiņa: </w:t>
      </w:r>
    </w:p>
    <w:p>
      <w:pPr>
        <w:pStyle w:val="Punkts111"/>
        <w:numPr>
          <w:ilvl w:val="2"/>
          <w:numId w:val="3"/>
        </w:numPr>
        <w:tabs>
          <w:tab w:val="clear" w:pos="851"/>
        </w:tabs>
        <w:ind w:left="1134" w:right="-1" w:hanging="567"/>
        <w:rPr>
          <w:sz w:val="22"/>
          <w:szCs w:val="22"/>
        </w:rPr>
      </w:pPr>
      <w:r>
        <w:rPr>
          <w:sz w:val="22"/>
          <w:szCs w:val="22"/>
        </w:rPr>
        <w:t>Papildus informāciju par Nolikumā iekļautajām prasībām attiecībā uz piedāvājumu sagatavošanu un iesniegšanu vai pretendentu atlasi, Pasūtītājs sniedz 5 (piecu) darba dienu laikā, bet ne vēlāk kā 6 (sešas) dienas pirms piedāvājuma iesniegšanas termiņa beigām, ja Pretendents informāciju pieprasījis laikus. Papildu informāciju var pieprasīt rakstiski, nosūtot to Pasūtītājam uz Nolikuma 1.1.punktā norādīto e-pastu adresi, izmantojot drošu elektronisko parakstu.</w:t>
      </w:r>
    </w:p>
    <w:p>
      <w:pPr>
        <w:pStyle w:val="Punkts111"/>
        <w:numPr>
          <w:ilvl w:val="2"/>
          <w:numId w:val="3"/>
        </w:numPr>
        <w:tabs>
          <w:tab w:val="clear" w:pos="851"/>
        </w:tabs>
        <w:ind w:left="1134" w:right="-1" w:hanging="567"/>
        <w:rPr>
          <w:sz w:val="22"/>
          <w:szCs w:val="22"/>
        </w:rPr>
      </w:pPr>
      <w:r>
        <w:rPr>
          <w:sz w:val="22"/>
          <w:szCs w:val="22"/>
        </w:rPr>
        <w:t xml:space="preserve">Pretendentam ir pienākums, ja Pasūtītājs to pieprasa, sniegt papildu informāciju vai paskaidrojumus par piedāvājumu rakstiski nosūtot to Pasūtītājam uz e-pastu, izmantojot drošu elektronisko parakstu, vai pa pastu, 5 (piecu) darba dienu laikā. </w:t>
      </w:r>
    </w:p>
    <w:p>
      <w:pPr>
        <w:pStyle w:val="Punkts111"/>
        <w:numPr>
          <w:ilvl w:val="2"/>
          <w:numId w:val="3"/>
        </w:numPr>
        <w:tabs>
          <w:tab w:val="clear" w:pos="851"/>
        </w:tabs>
        <w:ind w:left="1134" w:right="-1" w:hanging="567"/>
        <w:rPr>
          <w:sz w:val="22"/>
          <w:szCs w:val="22"/>
        </w:rPr>
      </w:pPr>
      <w:r>
        <w:rPr>
          <w:sz w:val="22"/>
          <w:szCs w:val="22"/>
        </w:rPr>
        <w:t xml:space="preserve">Ja Pasūtītājs izdarījis grozījumus Nolikumā, tas iesniedz informāciju par grozījumiem Iepirkumu uzraudzības birojam publicēšanai. </w:t>
      </w:r>
    </w:p>
    <w:p>
      <w:pPr>
        <w:pStyle w:val="Punkts111"/>
        <w:numPr>
          <w:ilvl w:val="2"/>
          <w:numId w:val="3"/>
        </w:numPr>
        <w:tabs>
          <w:tab w:val="clear" w:pos="851"/>
        </w:tabs>
        <w:ind w:left="1134" w:right="-1" w:hanging="567"/>
        <w:rPr>
          <w:sz w:val="22"/>
          <w:szCs w:val="22"/>
        </w:rPr>
      </w:pPr>
      <w:r>
        <w:rPr>
          <w:sz w:val="22"/>
          <w:szCs w:val="22"/>
        </w:rPr>
        <w:t xml:space="preserve">Pasūtītājs un Pretendents ar informāciju apmainās rakstiski latviešu valodā, nosūtot dokumentus pa pastu vai elektronisko pastu. </w:t>
      </w:r>
    </w:p>
    <w:p>
      <w:pPr>
        <w:pStyle w:val="Punkts111"/>
        <w:numPr>
          <w:ilvl w:val="2"/>
          <w:numId w:val="3"/>
        </w:numPr>
        <w:tabs>
          <w:tab w:val="clear" w:pos="851"/>
        </w:tabs>
        <w:ind w:left="1134" w:right="-1" w:hanging="567"/>
        <w:rPr>
          <w:sz w:val="22"/>
          <w:szCs w:val="22"/>
        </w:rPr>
      </w:pPr>
      <w:r>
        <w:rPr>
          <w:sz w:val="22"/>
          <w:szCs w:val="22"/>
        </w:rPr>
        <w:t>Laikā no piedāvājumu iesniegšanas dienas līdz to atvēršanas brīdim Pasūtītājs nesniedz informāciju par citu piedāvājumu esamību. Piedāvājumu vērtēšanas laikā līdz rezultātu paziņošanai Pasūtītājs nesniedz informāciju par vērtēšanas procesu.</w:t>
      </w:r>
    </w:p>
    <w:p>
      <w:pPr>
        <w:pStyle w:val="Normal"/>
        <w:numPr>
          <w:ilvl w:val="1"/>
          <w:numId w:val="3"/>
        </w:numPr>
        <w:spacing w:before="60" w:after="60"/>
        <w:ind w:left="539" w:right="-79" w:hanging="539"/>
        <w:jc w:val="both"/>
        <w:rPr>
          <w:sz w:val="22"/>
          <w:szCs w:val="22"/>
        </w:rPr>
      </w:pPr>
      <w:r>
        <w:rPr>
          <w:sz w:val="22"/>
          <w:szCs w:val="22"/>
        </w:rPr>
        <w:t xml:space="preserve">Pretendents piedāvājumu iesniedz līdz </w:t>
      </w:r>
      <w:r>
        <w:rPr>
          <w:b/>
          <w:i/>
          <w:sz w:val="22"/>
          <w:szCs w:val="22"/>
          <w:shd w:fill="auto" w:val="clear"/>
        </w:rPr>
        <w:t xml:space="preserve">2026.gada </w:t>
      </w:r>
      <w:r>
        <w:rPr>
          <w:b/>
          <w:i/>
          <w:sz w:val="22"/>
          <w:szCs w:val="22"/>
          <w:shd w:fill="auto" w:val="clear"/>
        </w:rPr>
        <w:t>08</w:t>
      </w:r>
      <w:r>
        <w:rPr>
          <w:b/>
          <w:i/>
          <w:sz w:val="22"/>
          <w:szCs w:val="22"/>
          <w:shd w:fill="auto" w:val="clear"/>
        </w:rPr>
        <w:t>.jū</w:t>
      </w:r>
      <w:r>
        <w:rPr>
          <w:b/>
          <w:i/>
          <w:sz w:val="22"/>
          <w:szCs w:val="22"/>
          <w:shd w:fill="auto" w:val="clear"/>
        </w:rPr>
        <w:t>l</w:t>
      </w:r>
      <w:r>
        <w:rPr>
          <w:b/>
          <w:i/>
          <w:sz w:val="22"/>
          <w:szCs w:val="22"/>
          <w:shd w:fill="auto" w:val="clear"/>
        </w:rPr>
        <w:t xml:space="preserve">ijam plkst.11:00. </w:t>
      </w:r>
      <w:r>
        <w:rPr>
          <w:b/>
          <w:bCs/>
          <w:sz w:val="22"/>
          <w:szCs w:val="22"/>
        </w:rPr>
        <w:t>Piedāvājums jāiesniedz Elektroniska iepirkumu sistēmā.</w:t>
      </w:r>
    </w:p>
    <w:p>
      <w:pPr>
        <w:pStyle w:val="Normal"/>
        <w:numPr>
          <w:ilvl w:val="1"/>
          <w:numId w:val="3"/>
        </w:numPr>
        <w:spacing w:before="60" w:after="60"/>
        <w:ind w:left="539" w:right="-79" w:hanging="539"/>
        <w:jc w:val="both"/>
        <w:rPr>
          <w:sz w:val="22"/>
          <w:szCs w:val="22"/>
        </w:rPr>
      </w:pPr>
      <w:r>
        <w:rPr>
          <w:color w:val="000000"/>
          <w:sz w:val="22"/>
          <w:szCs w:val="22"/>
        </w:rPr>
        <w:t>Piedāvājumi tiks atvērti</w:t>
      </w:r>
      <w:r>
        <w:rPr>
          <w:color w:val="000000"/>
          <w:sz w:val="22"/>
          <w:szCs w:val="22"/>
          <w:shd w:fill="auto" w:val="clear"/>
        </w:rPr>
        <w:t xml:space="preserve"> </w:t>
      </w:r>
      <w:r>
        <w:rPr>
          <w:b/>
          <w:i/>
          <w:color w:val="000000"/>
          <w:sz w:val="22"/>
          <w:szCs w:val="22"/>
          <w:shd w:fill="auto" w:val="clear"/>
        </w:rPr>
        <w:t xml:space="preserve">2024.gada </w:t>
      </w:r>
      <w:r>
        <w:rPr>
          <w:b/>
          <w:i/>
          <w:color w:val="000000"/>
          <w:sz w:val="22"/>
          <w:szCs w:val="22"/>
          <w:shd w:fill="auto" w:val="clear"/>
        </w:rPr>
        <w:t>08</w:t>
      </w:r>
      <w:r>
        <w:rPr>
          <w:b/>
          <w:i/>
          <w:color w:val="000000"/>
          <w:sz w:val="22"/>
          <w:szCs w:val="22"/>
          <w:shd w:fill="auto" w:val="clear"/>
        </w:rPr>
        <w:t>.jū</w:t>
      </w:r>
      <w:r>
        <w:rPr>
          <w:b/>
          <w:i/>
          <w:color w:val="000000"/>
          <w:sz w:val="22"/>
          <w:szCs w:val="22"/>
          <w:shd w:fill="auto" w:val="clear"/>
        </w:rPr>
        <w:t>l</w:t>
      </w:r>
      <w:r>
        <w:rPr>
          <w:b/>
          <w:i/>
          <w:color w:val="000000"/>
          <w:sz w:val="22"/>
          <w:szCs w:val="22"/>
          <w:shd w:fill="auto" w:val="clear"/>
        </w:rPr>
        <w:t>ijā plkst. 15.00 Elektroniska iepirkumu sistēmā.</w:t>
      </w:r>
    </w:p>
    <w:p>
      <w:pPr>
        <w:pStyle w:val="Normal"/>
        <w:spacing w:before="60" w:after="60"/>
        <w:ind w:left="539" w:right="-79" w:hanging="0"/>
        <w:jc w:val="both"/>
        <w:rPr>
          <w:sz w:val="22"/>
          <w:szCs w:val="22"/>
        </w:rPr>
      </w:pPr>
      <w:r>
        <w:rPr>
          <w:sz w:val="22"/>
          <w:szCs w:val="22"/>
        </w:rPr>
      </w:r>
    </w:p>
    <w:p>
      <w:pPr>
        <w:pStyle w:val="Virsraksts1"/>
        <w:keepLines/>
        <w:widowControl w:val="false"/>
        <w:numPr>
          <w:ilvl w:val="0"/>
          <w:numId w:val="3"/>
        </w:numPr>
        <w:tabs>
          <w:tab w:val="clear" w:pos="567"/>
        </w:tabs>
        <w:spacing w:before="40" w:after="40"/>
        <w:ind w:left="540" w:right="-79" w:hanging="540"/>
        <w:jc w:val="center"/>
        <w:rPr>
          <w:sz w:val="22"/>
          <w:szCs w:val="22"/>
        </w:rPr>
      </w:pPr>
      <w:r>
        <w:rPr>
          <w:sz w:val="22"/>
          <w:szCs w:val="22"/>
        </w:rPr>
        <w:t>Piedāvājuma noformējums</w:t>
      </w:r>
    </w:p>
    <w:p>
      <w:pPr>
        <w:pStyle w:val="Normal"/>
        <w:numPr>
          <w:ilvl w:val="1"/>
          <w:numId w:val="3"/>
        </w:numPr>
        <w:spacing w:before="120" w:after="120"/>
        <w:ind w:left="540" w:right="-79" w:hanging="540"/>
        <w:jc w:val="both"/>
        <w:rPr>
          <w:sz w:val="22"/>
          <w:szCs w:val="22"/>
        </w:rPr>
      </w:pPr>
      <w:r>
        <w:rPr>
          <w:sz w:val="22"/>
          <w:szCs w:val="22"/>
        </w:rPr>
        <w:t>Iepirkumam jāiesniedz 1 (viens) piedāvājuma variants, kas satur visus Pretendenta iesniedzamos dokumentus.</w:t>
      </w:r>
    </w:p>
    <w:p>
      <w:pPr>
        <w:pStyle w:val="Normal"/>
        <w:numPr>
          <w:ilvl w:val="1"/>
          <w:numId w:val="3"/>
        </w:numPr>
        <w:spacing w:before="60" w:after="60"/>
        <w:ind w:left="540" w:right="-79" w:hanging="540"/>
        <w:jc w:val="both"/>
        <w:rPr>
          <w:sz w:val="22"/>
          <w:szCs w:val="22"/>
        </w:rPr>
      </w:pPr>
      <w:r>
        <w:rPr>
          <w:sz w:val="22"/>
          <w:szCs w:val="22"/>
        </w:rPr>
        <w:t>Piedāvājums sastāv no 2 (divām) daļām:</w:t>
      </w:r>
    </w:p>
    <w:p>
      <w:pPr>
        <w:pStyle w:val="Normal"/>
        <w:numPr>
          <w:ilvl w:val="2"/>
          <w:numId w:val="3"/>
        </w:numPr>
        <w:spacing w:before="60" w:after="60"/>
        <w:ind w:left="1287" w:right="-79" w:hanging="684"/>
        <w:jc w:val="both"/>
        <w:rPr>
          <w:sz w:val="22"/>
          <w:szCs w:val="22"/>
        </w:rPr>
      </w:pPr>
      <w:r>
        <w:rPr>
          <w:sz w:val="22"/>
          <w:szCs w:val="22"/>
        </w:rPr>
        <w:t>pretendenta atlases dokumenti, ieskaitot iesniegumu dalībai iepirkumā (Nolikuma pielikums Nr.3, 4, 5, 6, 7);</w:t>
      </w:r>
    </w:p>
    <w:p>
      <w:pPr>
        <w:pStyle w:val="Normal"/>
        <w:numPr>
          <w:ilvl w:val="2"/>
          <w:numId w:val="3"/>
        </w:numPr>
        <w:spacing w:before="60" w:after="60"/>
        <w:ind w:left="1287" w:right="-79" w:hanging="684"/>
        <w:jc w:val="both"/>
        <w:rPr>
          <w:sz w:val="22"/>
          <w:szCs w:val="22"/>
        </w:rPr>
      </w:pPr>
      <w:r>
        <w:rPr>
          <w:sz w:val="22"/>
          <w:szCs w:val="22"/>
        </w:rPr>
        <w:t>Tehniskais un finanšu piedāvājums (Nolikuma pielikums Nr.2).</w:t>
      </w:r>
    </w:p>
    <w:p>
      <w:pPr>
        <w:pStyle w:val="Normal"/>
        <w:numPr>
          <w:ilvl w:val="1"/>
          <w:numId w:val="3"/>
        </w:numPr>
        <w:tabs>
          <w:tab w:val="clear" w:pos="851"/>
          <w:tab w:val="left" w:pos="540" w:leader="none"/>
        </w:tabs>
        <w:spacing w:before="60" w:after="60"/>
        <w:ind w:left="540" w:right="-79" w:hanging="540"/>
        <w:jc w:val="both"/>
        <w:rPr>
          <w:sz w:val="22"/>
          <w:szCs w:val="22"/>
        </w:rPr>
      </w:pPr>
      <w:r>
        <w:rPr>
          <w:color w:val="000000"/>
          <w:sz w:val="22"/>
          <w:szCs w:val="22"/>
        </w:rPr>
        <w:t xml:space="preserve">Visām piedāvājumu daļām un pieteikumam dalībai iepirkumā jābūt noformētiem atbilstoši spēkā esošo normatīvo aktu prasībām. </w:t>
      </w:r>
    </w:p>
    <w:p>
      <w:pPr>
        <w:pStyle w:val="Normal"/>
        <w:numPr>
          <w:ilvl w:val="1"/>
          <w:numId w:val="3"/>
        </w:numPr>
        <w:tabs>
          <w:tab w:val="clear" w:pos="851"/>
          <w:tab w:val="left" w:pos="540" w:leader="none"/>
        </w:tabs>
        <w:spacing w:before="60" w:after="60"/>
        <w:ind w:left="540" w:right="-79" w:hanging="540"/>
        <w:jc w:val="both"/>
        <w:rPr>
          <w:color w:val="000000"/>
          <w:sz w:val="22"/>
          <w:szCs w:val="22"/>
        </w:rPr>
      </w:pPr>
      <w:r>
        <w:rPr>
          <w:color w:val="000000"/>
          <w:sz w:val="22"/>
          <w:szCs w:val="22"/>
        </w:rPr>
        <w:t>Piedāvājumam jābūt latviešu valodā. Kvalifikāciju apliecinošus dokumentus (piemēram, sertifikātus, licences, atļaujas, apliecinājumus var iesniegt citā valodā. Citā valodā sagatavotiem piedāvājuma dokumentiem jāpievieno pretendenta apliecināts tulkojums latviešu valodā saskaņā ar spēkā esošo normatīvo aktu prasībām.</w:t>
      </w:r>
    </w:p>
    <w:p>
      <w:pPr>
        <w:pStyle w:val="Normal"/>
        <w:numPr>
          <w:ilvl w:val="1"/>
          <w:numId w:val="3"/>
        </w:numPr>
        <w:tabs>
          <w:tab w:val="clear" w:pos="851"/>
          <w:tab w:val="left" w:pos="540" w:leader="none"/>
        </w:tabs>
        <w:spacing w:before="60" w:after="60"/>
        <w:ind w:left="540" w:right="-79" w:hanging="540"/>
        <w:jc w:val="both"/>
        <w:rPr>
          <w:color w:val="000000"/>
          <w:sz w:val="22"/>
          <w:szCs w:val="22"/>
        </w:rPr>
      </w:pPr>
      <w:r>
        <w:rPr>
          <w:color w:val="000000"/>
          <w:sz w:val="22"/>
          <w:szCs w:val="22"/>
        </w:rPr>
        <w:t xml:space="preserve">Piedāvājumu paraksta pretendenta </w:t>
      </w:r>
      <w:r>
        <w:rPr>
          <w:sz w:val="22"/>
          <w:szCs w:val="22"/>
        </w:rPr>
        <w:t xml:space="preserve">pārstāvis ar paraksta tiesībām. Ja piedāvājumu paraksta pretendenta pilnvarota persona, piedāvājumam jāpievieno dokuments, kas apliecina tiesības pārstāvēt pretendentu. </w:t>
      </w:r>
    </w:p>
    <w:p>
      <w:pPr>
        <w:pStyle w:val="Normal"/>
        <w:numPr>
          <w:ilvl w:val="1"/>
          <w:numId w:val="3"/>
        </w:numPr>
        <w:tabs>
          <w:tab w:val="clear" w:pos="851"/>
          <w:tab w:val="left" w:pos="540" w:leader="none"/>
        </w:tabs>
        <w:spacing w:before="60" w:after="60"/>
        <w:ind w:left="540" w:right="-79" w:hanging="540"/>
        <w:jc w:val="both"/>
        <w:rPr>
          <w:color w:val="000000"/>
          <w:sz w:val="22"/>
          <w:szCs w:val="22"/>
        </w:rPr>
      </w:pPr>
      <w:r>
        <w:rPr>
          <w:color w:val="000000"/>
          <w:sz w:val="22"/>
          <w:szCs w:val="22"/>
        </w:rPr>
        <w:t>Pretendents ir tiesīgs visu iesniegto dokumentu atvasinājumu (kopiju, norakstu un izrakstu) un tulkojumu pareizību apliecināt ar vienu apliecinājumu.</w:t>
      </w:r>
      <w:r>
        <w:rPr>
          <w:sz w:val="22"/>
          <w:szCs w:val="22"/>
        </w:rPr>
        <w:t xml:space="preserve"> Ja iepirkuma Pasūtītājam rodas šaubas par iesniegto dokumentu kopiju autentiskumu, tā var pieprasīt, lai pretendents uzrāda dokumentu oriģinālus.</w:t>
      </w:r>
    </w:p>
    <w:p>
      <w:pPr>
        <w:pStyle w:val="Normal"/>
        <w:numPr>
          <w:ilvl w:val="1"/>
          <w:numId w:val="3"/>
        </w:numPr>
        <w:tabs>
          <w:tab w:val="clear" w:pos="851"/>
          <w:tab w:val="left" w:pos="540" w:leader="none"/>
        </w:tabs>
        <w:spacing w:before="60" w:after="60"/>
        <w:ind w:left="540" w:right="-79" w:hanging="540"/>
        <w:jc w:val="both"/>
        <w:rPr>
          <w:sz w:val="22"/>
          <w:szCs w:val="22"/>
        </w:rPr>
      </w:pPr>
      <w:r>
        <w:rPr>
          <w:color w:val="000000"/>
          <w:sz w:val="22"/>
          <w:szCs w:val="22"/>
        </w:rPr>
        <w:t>Iesniedzot piedāvājumu, pretendents pilnībā piekrīt visiem Nolikuma noteikumiem.</w:t>
      </w:r>
    </w:p>
    <w:p>
      <w:pPr>
        <w:pStyle w:val="Normal"/>
        <w:numPr>
          <w:ilvl w:val="1"/>
          <w:numId w:val="3"/>
        </w:numPr>
        <w:tabs>
          <w:tab w:val="clear" w:pos="851"/>
          <w:tab w:val="left" w:pos="540" w:leader="none"/>
        </w:tabs>
        <w:spacing w:before="60" w:after="60"/>
        <w:ind w:left="540" w:right="-79" w:hanging="540"/>
        <w:jc w:val="both"/>
        <w:rPr>
          <w:sz w:val="22"/>
          <w:szCs w:val="22"/>
        </w:rPr>
      </w:pPr>
      <w:r>
        <w:rPr>
          <w:color w:val="000000"/>
          <w:sz w:val="22"/>
          <w:szCs w:val="22"/>
        </w:rPr>
        <w:t xml:space="preserve">Pretendents var iesniegt </w:t>
      </w:r>
      <w:r>
        <w:rPr>
          <w:sz w:val="22"/>
          <w:szCs w:val="22"/>
        </w:rPr>
        <w:t xml:space="preserve">tikai vienu piedāvājumu </w:t>
      </w:r>
      <w:r>
        <w:rPr>
          <w:color w:val="000000"/>
          <w:sz w:val="22"/>
          <w:szCs w:val="22"/>
        </w:rPr>
        <w:t>par visu iepirkuma priekšmetu kopā. Pretendents nav tiesīgs iesniegt piedāvājuma variantus.</w:t>
      </w:r>
    </w:p>
    <w:p>
      <w:pPr>
        <w:pStyle w:val="Normal"/>
        <w:numPr>
          <w:ilvl w:val="1"/>
          <w:numId w:val="3"/>
        </w:numPr>
        <w:tabs>
          <w:tab w:val="clear" w:pos="851"/>
          <w:tab w:val="left" w:pos="540" w:leader="none"/>
        </w:tabs>
        <w:spacing w:before="60" w:after="60"/>
        <w:ind w:left="540" w:right="-79" w:hanging="540"/>
        <w:jc w:val="both"/>
        <w:rPr>
          <w:sz w:val="22"/>
          <w:szCs w:val="22"/>
        </w:rPr>
      </w:pPr>
      <w:r>
        <w:rPr>
          <w:sz w:val="22"/>
          <w:szCs w:val="22"/>
        </w:rPr>
        <w:t>Informācijas apmaiņa starp Pasūtītāju un pretendentu notiek rakstiski pa pastu.</w:t>
      </w:r>
    </w:p>
    <w:p>
      <w:pPr>
        <w:pStyle w:val="Normal"/>
        <w:ind w:left="0" w:right="-1" w:hanging="0"/>
        <w:jc w:val="both"/>
        <w:rPr>
          <w:sz w:val="22"/>
          <w:szCs w:val="22"/>
        </w:rPr>
      </w:pPr>
      <w:r>
        <w:rPr>
          <w:sz w:val="22"/>
          <w:szCs w:val="22"/>
        </w:rPr>
      </w:r>
      <w:bookmarkStart w:id="10" w:name="_Toc15556071"/>
      <w:bookmarkStart w:id="11" w:name="_Toc17966251"/>
      <w:bookmarkStart w:id="12" w:name="_Toc19598951"/>
      <w:bookmarkStart w:id="13" w:name="_Toc17967681"/>
      <w:bookmarkStart w:id="14" w:name="_Toc25625061"/>
      <w:bookmarkStart w:id="15" w:name="_Toc1391767891"/>
      <w:bookmarkStart w:id="16" w:name="_Toc5358249431"/>
      <w:bookmarkStart w:id="17" w:name="_Toc15556071"/>
      <w:bookmarkStart w:id="18" w:name="_Toc17966251"/>
      <w:bookmarkStart w:id="19" w:name="_Toc19598951"/>
      <w:bookmarkStart w:id="20" w:name="_Toc17967681"/>
      <w:bookmarkStart w:id="21" w:name="_Toc25625061"/>
      <w:bookmarkStart w:id="22" w:name="_Toc1391767891"/>
      <w:bookmarkStart w:id="23" w:name="_Toc5358249431"/>
      <w:bookmarkEnd w:id="17"/>
      <w:bookmarkEnd w:id="18"/>
      <w:bookmarkEnd w:id="19"/>
      <w:bookmarkEnd w:id="20"/>
      <w:bookmarkEnd w:id="21"/>
      <w:bookmarkEnd w:id="22"/>
      <w:bookmarkEnd w:id="23"/>
    </w:p>
    <w:p>
      <w:pPr>
        <w:pStyle w:val="Virsraksts1"/>
        <w:numPr>
          <w:ilvl w:val="0"/>
          <w:numId w:val="3"/>
        </w:numPr>
        <w:tabs>
          <w:tab w:val="clear" w:pos="567"/>
          <w:tab w:val="left" w:pos="284" w:leader="none"/>
        </w:tabs>
        <w:ind w:left="420" w:right="-1" w:hanging="420"/>
        <w:jc w:val="center"/>
        <w:rPr>
          <w:sz w:val="22"/>
          <w:szCs w:val="22"/>
        </w:rPr>
      </w:pPr>
      <w:bookmarkStart w:id="24" w:name="_Toc139176802"/>
      <w:bookmarkStart w:id="25" w:name="_Toc497742072"/>
      <w:bookmarkStart w:id="26" w:name="_Toc349210475"/>
      <w:bookmarkStart w:id="27" w:name="_Toc349215710"/>
      <w:bookmarkStart w:id="28" w:name="_Toc349217679"/>
      <w:bookmarkStart w:id="29" w:name="_Toc349210580"/>
      <w:bookmarkStart w:id="30" w:name="_Toc349209192"/>
      <w:bookmarkStart w:id="31" w:name="_Toc349209193"/>
      <w:bookmarkStart w:id="32" w:name="_Toc349217681"/>
      <w:bookmarkStart w:id="33" w:name="_Toc349210473"/>
      <w:bookmarkStart w:id="34" w:name="_Toc349209955"/>
      <w:bookmarkStart w:id="35" w:name="_Toc349210577"/>
      <w:bookmarkStart w:id="36" w:name="_Toc349210578"/>
      <w:bookmarkStart w:id="37" w:name="_Toc349210576"/>
      <w:bookmarkStart w:id="38" w:name="_Toc349209953"/>
      <w:bookmarkStart w:id="39" w:name="_Toc349209907"/>
      <w:bookmarkStart w:id="40" w:name="_Toc349215712"/>
      <w:bookmarkStart w:id="41" w:name="_Toc349217682"/>
      <w:bookmarkStart w:id="42" w:name="_Toc349209194"/>
      <w:bookmarkStart w:id="43" w:name="_Toc349209906"/>
      <w:bookmarkStart w:id="44" w:name="_Toc349217680"/>
      <w:bookmarkStart w:id="45" w:name="_Toc349210579"/>
      <w:bookmarkStart w:id="46" w:name="_Toc349209908"/>
      <w:bookmarkStart w:id="47" w:name="_Toc349215709"/>
      <w:bookmarkStart w:id="48" w:name="_Toc349215711"/>
      <w:bookmarkStart w:id="49" w:name="_Toc349215704"/>
      <w:bookmarkStart w:id="50" w:name="_Toc349210466"/>
      <w:bookmarkStart w:id="51" w:name="_Toc349209911"/>
      <w:bookmarkStart w:id="52" w:name="_Toc349209196"/>
      <w:bookmarkStart w:id="53" w:name="_Toc349210581"/>
      <w:bookmarkStart w:id="54" w:name="_Toc475795651"/>
      <w:bookmarkStart w:id="55" w:name="_Toc136224649"/>
      <w:bookmarkStart w:id="56" w:name="_Toc349210476"/>
      <w:bookmarkStart w:id="57" w:name="_Toc349210472"/>
      <w:bookmarkStart w:id="58" w:name="_Toc349209956"/>
      <w:bookmarkStart w:id="59" w:name="_Toc349215713"/>
      <w:bookmarkStart w:id="60" w:name="_Toc349210465"/>
      <w:bookmarkStart w:id="61" w:name="_Toc136224653"/>
      <w:bookmarkStart w:id="62" w:name="_Toc349209185"/>
      <w:bookmarkStart w:id="63" w:name="_Toc349209195"/>
      <w:bookmarkStart w:id="64" w:name="_Toc349217674"/>
      <w:bookmarkStart w:id="65" w:name="_Toc349209946"/>
      <w:bookmarkStart w:id="66" w:name="_Toc349217684"/>
      <w:bookmarkStart w:id="67" w:name="_Toc349210571"/>
      <w:bookmarkStart w:id="68" w:name="_Toc349210570"/>
      <w:bookmarkStart w:id="69" w:name="_Toc349209909"/>
      <w:bookmarkStart w:id="70" w:name="_Toc349209952"/>
      <w:bookmarkStart w:id="71" w:name="_Toc349209910"/>
      <w:bookmarkStart w:id="72" w:name="_Toc349210471"/>
      <w:bookmarkStart w:id="73" w:name="_Toc349209957"/>
      <w:bookmarkStart w:id="74" w:name="_Toc349209186"/>
      <w:bookmarkStart w:id="75" w:name="_Toc349209954"/>
      <w:bookmarkStart w:id="76" w:name="_Toc349210474"/>
      <w:bookmarkStart w:id="77" w:name="_Toc349217683"/>
      <w:bookmarkStart w:id="78" w:name="_Toc136224654"/>
      <w:bookmarkStart w:id="79" w:name="_Toc349215714"/>
      <w:bookmarkStart w:id="80" w:name="_Toc349209187"/>
      <w:bookmarkStart w:id="81" w:name="_Toc349209947"/>
      <w:bookmarkStart w:id="82" w:name="_Toc349209190"/>
      <w:bookmarkStart w:id="83" w:name="_Toc349209900"/>
      <w:bookmarkStart w:id="84" w:name="_Toc349210572"/>
      <w:bookmarkStart w:id="85" w:name="_Toc349209901"/>
      <w:bookmarkStart w:id="86" w:name="_Toc349210575"/>
      <w:bookmarkStart w:id="87" w:name="_Toc349209948"/>
      <w:bookmarkStart w:id="88" w:name="_Toc349210469"/>
      <w:bookmarkStart w:id="89" w:name="_Toc349217678"/>
      <w:bookmarkStart w:id="90" w:name="_Toc349215705"/>
      <w:bookmarkStart w:id="91" w:name="_Toc349210573"/>
      <w:bookmarkStart w:id="92" w:name="_Toc349217677"/>
      <w:bookmarkStart w:id="93" w:name="_Toc349210470"/>
      <w:bookmarkStart w:id="94" w:name="_Toc349217675"/>
      <w:bookmarkStart w:id="95" w:name="_Toc349210467"/>
      <w:bookmarkStart w:id="96" w:name="_Toc349209902"/>
      <w:bookmarkStart w:id="97" w:name="_Toc349215708"/>
      <w:bookmarkStart w:id="98" w:name="_Toc349209904"/>
      <w:bookmarkStart w:id="99" w:name="_Toc349209191"/>
      <w:bookmarkStart w:id="100" w:name="_Toc349210574"/>
      <w:bookmarkStart w:id="101" w:name="_Toc349215703"/>
      <w:bookmarkStart w:id="102" w:name="_Toc136224648"/>
      <w:bookmarkStart w:id="103" w:name="_Toc349217673"/>
      <w:bookmarkStart w:id="104" w:name="_Toc349209188"/>
      <w:bookmarkStart w:id="105" w:name="_Toc349209905"/>
      <w:bookmarkStart w:id="106" w:name="_Toc349209189"/>
      <w:bookmarkStart w:id="107" w:name="_Toc349209951"/>
      <w:bookmarkStart w:id="108" w:name="_Toc349209903"/>
      <w:bookmarkStart w:id="109" w:name="_Toc349210468"/>
      <w:bookmarkStart w:id="110" w:name="_Toc349217676"/>
      <w:bookmarkStart w:id="111" w:name="_Toc349215706"/>
      <w:bookmarkStart w:id="112" w:name="_Toc349209949"/>
      <w:bookmarkStart w:id="113" w:name="_Toc349209950"/>
      <w:bookmarkStart w:id="114" w:name="_Toc34921570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Pr>
          <w:sz w:val="22"/>
          <w:szCs w:val="22"/>
        </w:rPr>
        <w:t>Informācija par iepirkuma priekšmetu</w:t>
      </w:r>
      <w:bookmarkEnd w:id="24"/>
      <w:bookmarkEnd w:id="25"/>
    </w:p>
    <w:p>
      <w:pPr>
        <w:pStyle w:val="ListParagraph"/>
        <w:numPr>
          <w:ilvl w:val="1"/>
          <w:numId w:val="3"/>
        </w:numPr>
        <w:tabs>
          <w:tab w:val="clear" w:pos="851"/>
        </w:tabs>
        <w:spacing w:before="0" w:after="0"/>
        <w:ind w:left="567" w:right="-285" w:hanging="567"/>
        <w:contextualSpacing/>
        <w:jc w:val="both"/>
        <w:rPr>
          <w:rFonts w:ascii="Times New Roman" w:hAnsi="Times New Roman"/>
        </w:rPr>
      </w:pPr>
      <w:r>
        <w:rPr>
          <w:rFonts w:ascii="Times New Roman" w:hAnsi="Times New Roman"/>
        </w:rPr>
        <w:t xml:space="preserve">Iepirkuma līgumu priekšmets ir dzīvojamās mājas Atbrīvošanas aleja 121 </w:t>
      </w:r>
      <w:r>
        <w:rPr>
          <w:rFonts w:ascii="Times New Roman" w:hAnsi="Times New Roman"/>
          <w:bCs/>
          <w:spacing w:val="-2"/>
        </w:rPr>
        <w:t xml:space="preserve">(turpmāk </w:t>
      </w:r>
      <w:r>
        <w:rPr>
          <w:rFonts w:ascii="Times New Roman" w:hAnsi="Times New Roman"/>
        </w:rPr>
        <w:t>–</w:t>
      </w:r>
      <w:r>
        <w:rPr>
          <w:rFonts w:ascii="Times New Roman" w:hAnsi="Times New Roman"/>
          <w:bCs/>
          <w:spacing w:val="-2"/>
        </w:rPr>
        <w:t xml:space="preserve"> Objekts)  jumta seguma</w:t>
      </w:r>
      <w:r>
        <w:rPr>
          <w:rFonts w:ascii="Times New Roman" w:hAnsi="Times New Roman"/>
        </w:rPr>
        <w:t xml:space="preserve"> atjaunošana, (turpmāk – Būvdarbi), saskaņā ar Nolikumu.</w:t>
      </w:r>
    </w:p>
    <w:p>
      <w:pPr>
        <w:pStyle w:val="ListParagraph"/>
        <w:numPr>
          <w:ilvl w:val="1"/>
          <w:numId w:val="3"/>
        </w:numPr>
        <w:tabs>
          <w:tab w:val="clear" w:pos="851"/>
        </w:tabs>
        <w:spacing w:before="0" w:after="0"/>
        <w:ind w:left="567" w:right="0" w:hanging="567"/>
        <w:contextualSpacing/>
        <w:jc w:val="both"/>
        <w:rPr>
          <w:rFonts w:ascii="Times New Roman" w:hAnsi="Times New Roman"/>
        </w:rPr>
      </w:pPr>
      <w:r>
        <w:rPr>
          <w:rFonts w:eastAsia="Calibri" w:ascii="Times New Roman" w:hAnsi="Times New Roman" w:eastAsiaTheme="minorHAnsi"/>
          <w:color w:val="000000"/>
        </w:rPr>
        <w:t>Iepirkuma priekšmets nav sadalīts daļās. Pretendents nav tiesīgs iesniegt piedāvājuma variantus.</w:t>
      </w:r>
    </w:p>
    <w:p>
      <w:pPr>
        <w:pStyle w:val="ListParagraph"/>
        <w:numPr>
          <w:ilvl w:val="1"/>
          <w:numId w:val="3"/>
        </w:numPr>
        <w:tabs>
          <w:tab w:val="clear" w:pos="851"/>
        </w:tabs>
        <w:spacing w:before="0" w:after="0"/>
        <w:ind w:left="567" w:right="0" w:hanging="567"/>
        <w:contextualSpacing/>
        <w:jc w:val="both"/>
        <w:rPr>
          <w:rFonts w:ascii="Times New Roman" w:hAnsi="Times New Roman"/>
        </w:rPr>
      </w:pPr>
      <w:r>
        <w:rPr>
          <w:rFonts w:ascii="Times New Roman" w:hAnsi="Times New Roman"/>
        </w:rPr>
        <w:t>Pretendents piedāvājumu var iesniegt tikai par visu apjomu.</w:t>
      </w:r>
    </w:p>
    <w:p>
      <w:pPr>
        <w:pStyle w:val="Normal"/>
        <w:numPr>
          <w:ilvl w:val="1"/>
          <w:numId w:val="3"/>
        </w:numPr>
        <w:tabs>
          <w:tab w:val="clear" w:pos="851"/>
        </w:tabs>
        <w:ind w:left="567" w:right="-284" w:hanging="567"/>
        <w:rPr>
          <w:sz w:val="22"/>
          <w:szCs w:val="22"/>
        </w:rPr>
      </w:pPr>
      <w:r>
        <w:rPr>
          <w:sz w:val="22"/>
          <w:szCs w:val="22"/>
        </w:rPr>
        <w:t xml:space="preserve">Iepirkuma līguma izpildes termiņš - Būvdarbu veikšana, tai skaitā Objekta nodošana ekspluatācijā </w:t>
      </w:r>
      <w:r>
        <w:rPr>
          <w:sz w:val="22"/>
          <w:szCs w:val="22"/>
          <w:shd w:fill="auto" w:val="clear"/>
        </w:rPr>
        <w:t xml:space="preserve">– </w:t>
      </w:r>
      <w:r>
        <w:rPr>
          <w:b/>
          <w:bCs/>
          <w:sz w:val="22"/>
          <w:szCs w:val="22"/>
          <w:shd w:fill="auto" w:val="clear"/>
        </w:rPr>
        <w:t>4</w:t>
      </w:r>
      <w:r>
        <w:rPr>
          <w:sz w:val="22"/>
          <w:szCs w:val="22"/>
          <w:shd w:fill="auto" w:val="clear"/>
        </w:rPr>
        <w:t xml:space="preserve"> </w:t>
      </w:r>
      <w:r>
        <w:rPr>
          <w:b/>
          <w:sz w:val="22"/>
          <w:szCs w:val="22"/>
          <w:shd w:fill="auto" w:val="clear"/>
        </w:rPr>
        <w:t xml:space="preserve">(četri) </w:t>
      </w:r>
      <w:r>
        <w:rPr>
          <w:sz w:val="22"/>
          <w:szCs w:val="22"/>
        </w:rPr>
        <w:t>kalendārie mēneši no iepirkuma līguma noslēgšanas un Objekta nodošanas Pasūtītājam.</w:t>
      </w:r>
    </w:p>
    <w:p>
      <w:pPr>
        <w:pStyle w:val="Normal"/>
        <w:numPr>
          <w:ilvl w:val="1"/>
          <w:numId w:val="3"/>
        </w:numPr>
        <w:tabs>
          <w:tab w:val="clear" w:pos="851"/>
        </w:tabs>
        <w:ind w:left="567" w:right="-284" w:hanging="567"/>
        <w:rPr>
          <w:sz w:val="22"/>
          <w:szCs w:val="22"/>
        </w:rPr>
      </w:pPr>
      <w:r>
        <w:rPr>
          <w:rFonts w:eastAsia="Calibri"/>
          <w:color w:val="000000" w:themeColor="text1"/>
          <w:sz w:val="22"/>
          <w:szCs w:val="22"/>
          <w:lang w:eastAsia="lv-LV"/>
          <w14:textFill>
            <w14:solidFill>
              <w14:schemeClr w14:val="tx1"/>
            </w14:solidFill>
          </w14:textFill>
        </w:rPr>
        <w:t>Noslēgtā iepirkuma līguma izpildes laikā ēkas ekspluatācija netiks apturēta.</w:t>
      </w:r>
    </w:p>
    <w:p>
      <w:pPr>
        <w:pStyle w:val="Normal"/>
        <w:numPr>
          <w:ilvl w:val="1"/>
          <w:numId w:val="3"/>
        </w:numPr>
        <w:tabs>
          <w:tab w:val="clear" w:pos="851"/>
        </w:tabs>
        <w:ind w:left="567" w:right="-284" w:hanging="567"/>
        <w:jc w:val="both"/>
        <w:rPr>
          <w:sz w:val="22"/>
          <w:szCs w:val="22"/>
        </w:rPr>
      </w:pPr>
      <w:r>
        <w:rPr>
          <w:sz w:val="22"/>
          <w:szCs w:val="22"/>
        </w:rPr>
        <w:t>Iepirkuma līguma izpildes vieta: Atbrīvošanas aleja 121, Rēzekne.</w:t>
      </w:r>
      <w:bookmarkStart w:id="115" w:name="_Toc139176804"/>
      <w:bookmarkStart w:id="116" w:name="_Toc497742074"/>
      <w:bookmarkStart w:id="117" w:name="_Toc136069890"/>
      <w:bookmarkEnd w:id="115"/>
      <w:bookmarkEnd w:id="116"/>
      <w:bookmarkEnd w:id="117"/>
    </w:p>
    <w:p>
      <w:pPr>
        <w:pStyle w:val="Normal"/>
        <w:ind w:left="0" w:right="-1" w:hanging="0"/>
        <w:jc w:val="both"/>
        <w:rPr>
          <w:sz w:val="22"/>
          <w:szCs w:val="22"/>
        </w:rPr>
      </w:pPr>
      <w:r>
        <w:rPr>
          <w:sz w:val="22"/>
          <w:szCs w:val="22"/>
        </w:rPr>
      </w:r>
    </w:p>
    <w:p>
      <w:pPr>
        <w:pStyle w:val="ListParagraph"/>
        <w:widowControl w:val="false"/>
        <w:numPr>
          <w:ilvl w:val="0"/>
          <w:numId w:val="3"/>
        </w:numPr>
        <w:spacing w:before="0" w:after="0"/>
        <w:ind w:left="420" w:right="9" w:hanging="420"/>
        <w:contextualSpacing/>
        <w:jc w:val="center"/>
        <w:rPr>
          <w:rFonts w:ascii="Times New Roman" w:hAnsi="Times New Roman"/>
          <w:b/>
          <w:b/>
          <w:color w:val="000000"/>
        </w:rPr>
      </w:pPr>
      <w:r>
        <w:rPr>
          <w:rFonts w:ascii="Times New Roman" w:hAnsi="Times New Roman"/>
          <w:b/>
          <w:color w:val="000000"/>
        </w:rPr>
        <w:t>Prasības pretendentiem</w:t>
      </w:r>
    </w:p>
    <w:p>
      <w:pPr>
        <w:pStyle w:val="Style11"/>
        <w:rPr>
          <w:sz w:val="22"/>
          <w:szCs w:val="22"/>
          <w:lang w:val="lv-LV"/>
        </w:rPr>
      </w:pPr>
      <w:bookmarkStart w:id="118" w:name="_Toc455559638"/>
      <w:r>
        <w:rPr>
          <w:sz w:val="22"/>
          <w:szCs w:val="22"/>
          <w:lang w:val="lv-LV"/>
        </w:rPr>
        <w:t>5.1.Atbilstība profesionālās darbības veikšanai:</w:t>
      </w:r>
      <w:bookmarkEnd w:id="118"/>
    </w:p>
    <w:tbl>
      <w:tblPr>
        <w:tblStyle w:val="12"/>
        <w:tblW w:w="10201" w:type="dxa"/>
        <w:jc w:val="center"/>
        <w:tblInd w:w="0" w:type="dxa"/>
        <w:tblLayout w:type="fixed"/>
        <w:tblCellMar>
          <w:top w:w="0" w:type="dxa"/>
          <w:left w:w="108" w:type="dxa"/>
          <w:bottom w:w="0" w:type="dxa"/>
          <w:right w:w="108" w:type="dxa"/>
        </w:tblCellMar>
      </w:tblPr>
      <w:tblGrid>
        <w:gridCol w:w="3085"/>
        <w:gridCol w:w="7115"/>
      </w:tblGrid>
      <w:tr>
        <w:trPr/>
        <w:tc>
          <w:tcPr>
            <w:tcW w:w="30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24" w:right="7" w:hanging="0"/>
              <w:jc w:val="left"/>
              <w:rPr>
                <w:rFonts w:eastAsia="Calibri"/>
                <w:b/>
                <w:b/>
                <w:bCs/>
                <w:sz w:val="22"/>
                <w:szCs w:val="22"/>
                <w:lang w:eastAsia="ar-SA"/>
              </w:rPr>
            </w:pPr>
            <w:r>
              <w:rPr>
                <w:rFonts w:eastAsia="Calibri"/>
                <w:b/>
                <w:bCs/>
                <w:kern w:val="0"/>
                <w:sz w:val="22"/>
                <w:szCs w:val="22"/>
                <w:lang w:eastAsia="ar-SA"/>
              </w:rPr>
              <w:t>5.1.1.</w:t>
            </w:r>
            <w:r>
              <w:rPr>
                <w:b/>
                <w:kern w:val="0"/>
                <w:sz w:val="22"/>
                <w:szCs w:val="22"/>
              </w:rPr>
              <w:t xml:space="preserve">Pasūtītāja </w:t>
            </w:r>
            <w:r>
              <w:rPr>
                <w:rFonts w:eastAsia="Calibri"/>
                <w:b/>
                <w:bCs/>
                <w:kern w:val="0"/>
                <w:sz w:val="22"/>
                <w:szCs w:val="22"/>
                <w:lang w:eastAsia="ar-SA"/>
              </w:rPr>
              <w:t>izvirzītās prasības pretendentam</w:t>
            </w:r>
          </w:p>
        </w:tc>
        <w:tc>
          <w:tcPr>
            <w:tcW w:w="7115"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true"/>
              <w:spacing w:before="0" w:after="0"/>
              <w:ind w:left="35" w:right="0" w:hanging="0"/>
              <w:jc w:val="left"/>
              <w:rPr>
                <w:rFonts w:ascii="Times New Roman" w:hAnsi="Times New Roman"/>
                <w:b/>
                <w:b/>
                <w:bCs/>
                <w:lang w:eastAsia="ar-SA"/>
              </w:rPr>
            </w:pPr>
            <w:r>
              <w:rPr>
                <w:rFonts w:ascii="Times New Roman" w:hAnsi="Times New Roman"/>
                <w:b/>
                <w:bCs/>
                <w:kern w:val="0"/>
                <w:lang w:eastAsia="ar-SA"/>
              </w:rPr>
              <w:t>5.1.2.Pretendentam jāiesniedz šādi dokumenti:</w:t>
            </w:r>
          </w:p>
        </w:tc>
      </w:tr>
      <w:tr>
        <w:trPr/>
        <w:tc>
          <w:tcPr>
            <w:tcW w:w="3085" w:type="dxa"/>
            <w:tcBorders>
              <w:top w:val="single" w:sz="4" w:space="0" w:color="000000"/>
              <w:left w:val="single" w:sz="4" w:space="0" w:color="000000"/>
              <w:bottom w:val="single" w:sz="4" w:space="0" w:color="000000"/>
              <w:right w:val="single" w:sz="4" w:space="0" w:color="000000"/>
            </w:tcBorders>
            <w:shd w:color="auto" w:fill="auto" w:val="clear"/>
          </w:tcPr>
          <w:p>
            <w:pPr>
              <w:pStyle w:val="Style11"/>
              <w:widowControl w:val="false"/>
              <w:suppressAutoHyphens w:val="true"/>
              <w:spacing w:before="0" w:after="0"/>
              <w:ind w:left="24" w:right="7" w:hanging="0"/>
              <w:rPr>
                <w:sz w:val="22"/>
                <w:szCs w:val="22"/>
                <w:lang w:val="lv-LV"/>
              </w:rPr>
            </w:pPr>
            <w:r>
              <w:rPr>
                <w:kern w:val="0"/>
                <w:sz w:val="22"/>
                <w:szCs w:val="22"/>
                <w:lang w:val="lv-LV"/>
              </w:rPr>
              <w:t>5.1.1.1.Pretendents (t. sk. apakšuzņēmēji un katrs piegādātāju apvienības dalībnieks) ir reģistrēts atbilstoši normatīvo aktu prasībām.</w:t>
            </w:r>
          </w:p>
          <w:p>
            <w:pPr>
              <w:pStyle w:val="Style11"/>
              <w:widowControl w:val="false"/>
              <w:suppressAutoHyphens w:val="true"/>
              <w:spacing w:before="0" w:after="0"/>
              <w:ind w:left="24" w:right="7" w:hanging="0"/>
              <w:rPr>
                <w:sz w:val="22"/>
                <w:szCs w:val="22"/>
                <w:lang w:val="lv-LV"/>
              </w:rPr>
            </w:pPr>
            <w:r>
              <w:rPr>
                <w:sz w:val="22"/>
                <w:szCs w:val="22"/>
                <w:lang w:val="lv-LV"/>
              </w:rPr>
            </w:r>
          </w:p>
        </w:tc>
        <w:tc>
          <w:tcPr>
            <w:tcW w:w="71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35" w:right="0" w:hanging="0"/>
              <w:jc w:val="both"/>
              <w:rPr>
                <w:rFonts w:eastAsia="Calibri"/>
                <w:bCs/>
                <w:sz w:val="22"/>
                <w:szCs w:val="22"/>
                <w:lang w:eastAsia="ar-SA"/>
              </w:rPr>
            </w:pPr>
            <w:r>
              <w:rPr>
                <w:rFonts w:eastAsia="Calibri"/>
                <w:bCs/>
                <w:kern w:val="0"/>
                <w:sz w:val="22"/>
                <w:szCs w:val="22"/>
                <w:lang w:eastAsia="ar-SA"/>
              </w:rPr>
              <w:t>5.1.2.1.</w:t>
            </w:r>
          </w:p>
          <w:p>
            <w:pPr>
              <w:pStyle w:val="Normal"/>
              <w:widowControl w:val="false"/>
              <w:suppressAutoHyphens w:val="true"/>
              <w:spacing w:before="0" w:after="0"/>
              <w:ind w:left="35" w:right="0" w:hanging="0"/>
              <w:jc w:val="both"/>
              <w:rPr>
                <w:rFonts w:eastAsia="Calibri"/>
                <w:bCs/>
                <w:sz w:val="22"/>
                <w:szCs w:val="22"/>
                <w:lang w:eastAsia="ar-SA"/>
              </w:rPr>
            </w:pPr>
            <w:r>
              <w:rPr>
                <w:rFonts w:eastAsia="Calibri"/>
                <w:bCs/>
                <w:kern w:val="0"/>
                <w:sz w:val="22"/>
                <w:szCs w:val="22"/>
                <w:lang w:eastAsia="ar-SA"/>
              </w:rPr>
              <w:t>a) Ārvalstu pretendentam (komersantam) - komercdarbību reģistrējošas iestādes ārvalstīs izdotas reģistrācijas apliecības kopija vai cits līdzvērtīgs dokuments.</w:t>
            </w:r>
          </w:p>
          <w:p>
            <w:pPr>
              <w:pStyle w:val="Normal"/>
              <w:widowControl w:val="false"/>
              <w:suppressAutoHyphens w:val="true"/>
              <w:spacing w:before="0" w:after="0"/>
              <w:ind w:left="35" w:right="0" w:hanging="0"/>
              <w:jc w:val="both"/>
              <w:rPr>
                <w:rFonts w:eastAsia="Calibri"/>
                <w:bCs/>
                <w:color w:val="FF0000"/>
                <w:sz w:val="22"/>
                <w:szCs w:val="22"/>
                <w:lang w:eastAsia="ar-SA"/>
              </w:rPr>
            </w:pPr>
            <w:r>
              <w:rPr>
                <w:rFonts w:eastAsia="Calibri"/>
                <w:bCs/>
                <w:kern w:val="0"/>
                <w:sz w:val="22"/>
                <w:szCs w:val="22"/>
                <w:lang w:eastAsia="ar-SA"/>
              </w:rPr>
              <w:t xml:space="preserve">b) Ja piedāvājumu iesniedz piegādātāju apvienība, tad iesniedzams apliecinājums, ka gadījumā, ja apvienība tiks atzīta par iepirkuma uzvarētāju, tā </w:t>
            </w:r>
            <w:r>
              <w:rPr>
                <w:kern w:val="0"/>
                <w:sz w:val="22"/>
                <w:szCs w:val="22"/>
                <w:lang w:eastAsia="fr-FR"/>
              </w:rPr>
              <w:t>pēc savas izvēles izveidojas atbilstoši noteiktam juridiskam statusam vai noslēdz sabiedrības līgumu, vienojoties par apvienības dalībnieku atbildības sadalījumu</w:t>
            </w:r>
            <w:r>
              <w:rPr>
                <w:rFonts w:eastAsia="Calibri"/>
                <w:bCs/>
                <w:kern w:val="0"/>
                <w:sz w:val="22"/>
                <w:szCs w:val="22"/>
                <w:lang w:eastAsia="ar-SA"/>
              </w:rPr>
              <w:t xml:space="preserve">. </w:t>
            </w:r>
          </w:p>
          <w:p>
            <w:pPr>
              <w:pStyle w:val="Normal"/>
              <w:widowControl w:val="false"/>
              <w:suppressAutoHyphens w:val="true"/>
              <w:spacing w:before="0" w:after="0"/>
              <w:ind w:left="35" w:right="0" w:hanging="0"/>
              <w:jc w:val="both"/>
              <w:rPr>
                <w:rFonts w:eastAsia="Calibri"/>
                <w:bCs/>
                <w:i/>
                <w:i/>
                <w:sz w:val="22"/>
                <w:szCs w:val="22"/>
                <w:lang w:eastAsia="ar-SA"/>
              </w:rPr>
            </w:pPr>
            <w:r>
              <w:rPr>
                <w:rFonts w:eastAsia="Calibri"/>
                <w:i/>
                <w:kern w:val="0"/>
                <w:sz w:val="22"/>
                <w:szCs w:val="22"/>
              </w:rPr>
              <w:t>Attiecībā uz Latvijā reģistrētu pretendentu Pasūtītājs pārbaudi veiks pēc Uzņēmumu reģistrā vai Valsts ieņēmumu dienesta saimnieciskās darbības veicēju datu bāzē norādītās informācijas</w:t>
            </w:r>
          </w:p>
        </w:tc>
      </w:tr>
      <w:tr>
        <w:trPr/>
        <w:tc>
          <w:tcPr>
            <w:tcW w:w="30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24" w:right="7" w:hanging="0"/>
              <w:jc w:val="both"/>
              <w:rPr>
                <w:rFonts w:eastAsia="Calibri"/>
                <w:bCs/>
                <w:sz w:val="22"/>
                <w:szCs w:val="22"/>
                <w:lang w:eastAsia="ar-SA"/>
              </w:rPr>
            </w:pPr>
            <w:r>
              <w:rPr>
                <w:rFonts w:eastAsia="Calibri"/>
                <w:bCs/>
                <w:kern w:val="0"/>
                <w:sz w:val="22"/>
                <w:szCs w:val="22"/>
                <w:lang w:eastAsia="ar-SA"/>
              </w:rPr>
              <w:t>5.1.1.2. Pretendents (t. sk. apakšuzņēmēji un katrs piegādātāju apvienības dalībnieks) Darbu izpildei ir atbilstoši reģistrēts (</w:t>
            </w:r>
            <w:r>
              <w:rPr>
                <w:rFonts w:eastAsia="Calibri"/>
                <w:bCs/>
                <w:i/>
                <w:kern w:val="0"/>
                <w:sz w:val="22"/>
                <w:szCs w:val="22"/>
                <w:lang w:eastAsia="ar-SA"/>
              </w:rPr>
              <w:t>ja konkrēto darbu veikšanai ir nepieciešama šāda reģistrācija atbilstoši normatīvo aktu prasībām</w:t>
            </w:r>
            <w:r>
              <w:rPr>
                <w:rFonts w:eastAsia="Calibri"/>
                <w:bCs/>
                <w:kern w:val="0"/>
                <w:sz w:val="22"/>
                <w:szCs w:val="22"/>
                <w:lang w:eastAsia="ar-SA"/>
              </w:rPr>
              <w:t>) Latvijas Republikas Būvkomersantu reģistrā vai, ja pretendents nav reģistrēts Latvijas Republikas Būvkomersantu reģistrā, tam jābūt reģistrētam Latvijas Republikas Būvkomersantu reģistrā uz līguma noslēgšanas brīdi, ja pretendents tiks  atzīts par iepirkuma uzvarētāju.</w:t>
            </w:r>
          </w:p>
        </w:tc>
        <w:tc>
          <w:tcPr>
            <w:tcW w:w="71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35" w:right="0" w:hanging="0"/>
              <w:jc w:val="both"/>
              <w:rPr>
                <w:rFonts w:eastAsia="Calibri"/>
                <w:bCs/>
                <w:sz w:val="22"/>
                <w:szCs w:val="22"/>
                <w:lang w:eastAsia="ar-SA"/>
              </w:rPr>
            </w:pPr>
            <w:r>
              <w:rPr>
                <w:rFonts w:eastAsia="Calibri"/>
                <w:bCs/>
                <w:kern w:val="0"/>
                <w:sz w:val="22"/>
                <w:szCs w:val="22"/>
                <w:lang w:eastAsia="ar-SA"/>
              </w:rPr>
              <w:t xml:space="preserve">5.1.2.2.: </w:t>
            </w:r>
          </w:p>
          <w:p>
            <w:pPr>
              <w:pStyle w:val="Tabulas1111"/>
              <w:widowControl w:val="false"/>
              <w:numPr>
                <w:ilvl w:val="0"/>
                <w:numId w:val="0"/>
              </w:numPr>
              <w:suppressAutoHyphens w:val="true"/>
              <w:spacing w:before="0" w:after="0"/>
              <w:ind w:left="0" w:right="11" w:hanging="0"/>
              <w:rPr>
                <w:sz w:val="22"/>
                <w:szCs w:val="22"/>
              </w:rPr>
            </w:pPr>
            <w:r>
              <w:rPr>
                <w:kern w:val="0"/>
              </w:rPr>
              <w:t>a</w:t>
            </w:r>
            <w:r>
              <w:rPr>
                <w:kern w:val="0"/>
                <w:sz w:val="22"/>
                <w:szCs w:val="22"/>
              </w:rPr>
              <w:t>) Lai pārbaudītu Nolikuma 5.1.1.2. punkta izpildi, par reģistrāciju Latvijas Republikas Būvkomersantu reģistrā Pasūtītājs pārliecināsies publiskajās datu bāzēs.</w:t>
            </w:r>
          </w:p>
          <w:p>
            <w:pPr>
              <w:pStyle w:val="Tabulas1111"/>
              <w:widowControl w:val="false"/>
              <w:numPr>
                <w:ilvl w:val="0"/>
                <w:numId w:val="0"/>
              </w:numPr>
              <w:suppressAutoHyphens w:val="true"/>
              <w:spacing w:before="0" w:after="0"/>
              <w:ind w:left="0" w:right="11" w:hanging="0"/>
              <w:rPr>
                <w:sz w:val="22"/>
                <w:szCs w:val="22"/>
              </w:rPr>
            </w:pPr>
            <w:r>
              <w:rPr>
                <w:kern w:val="0"/>
                <w:sz w:val="22"/>
                <w:szCs w:val="22"/>
              </w:rPr>
              <w:t>b) Pretendentam, kurš uz piedāvājuma iesniegšanas dienu nav reģistrēts Latvijas Republikas Būvkomersantu reģistrā, jāiesniedz apliecinājums, ka gadījumā, ja tiks atzīts par uzvarētāju, tas 10 (desmit) darba dienu laikā pēc iepirkuma Līguma nosūtīšanas uzvarētajam, reģistrēsies Latvijas Republikas Būvkomersantu reģistrā.</w:t>
            </w:r>
          </w:p>
          <w:p>
            <w:pPr>
              <w:pStyle w:val="Normal"/>
              <w:widowControl w:val="false"/>
              <w:suppressAutoHyphens w:val="true"/>
              <w:spacing w:before="0" w:after="0"/>
              <w:ind w:left="35" w:right="0" w:hanging="0"/>
              <w:jc w:val="both"/>
              <w:rPr>
                <w:rFonts w:eastAsia="Calibri"/>
                <w:bCs/>
                <w:sz w:val="22"/>
                <w:szCs w:val="22"/>
                <w:lang w:eastAsia="ar-SA"/>
              </w:rPr>
            </w:pPr>
            <w:r>
              <w:rPr>
                <w:bCs/>
                <w:kern w:val="0"/>
                <w:sz w:val="22"/>
                <w:szCs w:val="22"/>
              </w:rPr>
              <w:t xml:space="preserve">c) Ārvalstī reģistrētam pretendentam, </w:t>
            </w:r>
            <w:r>
              <w:rPr>
                <w:kern w:val="0"/>
                <w:sz w:val="22"/>
                <w:szCs w:val="22"/>
              </w:rPr>
              <w:t>kurš uz piedāvājuma iesniegšanas dienu nav reģistrēts Latvijas Republikas Būvkomersantu reģistrā un, kurš līguma izpildei piesaistīs ārvalstu būvspeciālistus jāiesniedz apliecinājums, ka gadījumā, ja tas tiks atzīts par uzvarētāju, tas 10 (desmit) darba dienu laikā no dienas, kad tā speciālists būs ieguvis atzīšanas institūcijas izsniegtu atļauju par īslaicīgo profesionālo pakalpojumu sniegšanu Latvijas Republikā, reģistrēsies Latvijas Republikas Būvkomersantu reģistrā.</w:t>
            </w:r>
          </w:p>
          <w:p>
            <w:pPr>
              <w:pStyle w:val="Normal"/>
              <w:widowControl w:val="false"/>
              <w:suppressAutoHyphens w:val="true"/>
              <w:spacing w:before="0" w:after="0"/>
              <w:ind w:left="35" w:right="0" w:hanging="0"/>
              <w:jc w:val="both"/>
              <w:rPr>
                <w:rFonts w:eastAsia="Calibri"/>
                <w:bCs/>
                <w:i/>
                <w:i/>
                <w:sz w:val="22"/>
                <w:szCs w:val="22"/>
                <w:lang w:eastAsia="ar-SA"/>
              </w:rPr>
            </w:pPr>
            <w:r>
              <w:rPr>
                <w:rFonts w:eastAsia="Calibri"/>
                <w:bCs/>
                <w:i/>
                <w:kern w:val="0"/>
                <w:sz w:val="22"/>
                <w:szCs w:val="22"/>
                <w:lang w:eastAsia="ar-SA"/>
              </w:rPr>
              <w:t>Attiecībā uz Latvijā reģistrētu pretendentu Pasūtītājs pārbaudi veiks publiski pieejamā Būvniecības informācijas sistēmā.</w:t>
            </w:r>
          </w:p>
        </w:tc>
      </w:tr>
    </w:tbl>
    <w:p>
      <w:pPr>
        <w:pStyle w:val="Style11"/>
        <w:rPr>
          <w:sz w:val="22"/>
          <w:szCs w:val="22"/>
          <w:lang w:val="lv-LV"/>
        </w:rPr>
      </w:pPr>
      <w:r>
        <w:rPr>
          <w:sz w:val="22"/>
          <w:szCs w:val="22"/>
          <w:lang w:val="lv-LV"/>
        </w:rPr>
      </w:r>
    </w:p>
    <w:p>
      <w:pPr>
        <w:pStyle w:val="Style11"/>
        <w:rPr>
          <w:sz w:val="22"/>
          <w:szCs w:val="22"/>
          <w:lang w:val="lv-LV"/>
        </w:rPr>
      </w:pPr>
      <w:bookmarkStart w:id="119" w:name="_Toc455559639"/>
      <w:r>
        <w:rPr>
          <w:sz w:val="22"/>
          <w:szCs w:val="22"/>
          <w:lang w:val="lv-LV"/>
        </w:rPr>
        <w:t>5.2.Prasības saimnieciskajam un finansiālajam stāvoklim:</w:t>
      </w:r>
      <w:bookmarkEnd w:id="119"/>
    </w:p>
    <w:tbl>
      <w:tblPr>
        <w:tblStyle w:val="12"/>
        <w:tblW w:w="10220" w:type="dxa"/>
        <w:jc w:val="left"/>
        <w:tblInd w:w="-572" w:type="dxa"/>
        <w:tblLayout w:type="fixed"/>
        <w:tblCellMar>
          <w:top w:w="0" w:type="dxa"/>
          <w:left w:w="108" w:type="dxa"/>
          <w:bottom w:w="0" w:type="dxa"/>
          <w:right w:w="108" w:type="dxa"/>
        </w:tblCellMar>
      </w:tblPr>
      <w:tblGrid>
        <w:gridCol w:w="4280"/>
        <w:gridCol w:w="5939"/>
      </w:tblGrid>
      <w:tr>
        <w:trPr/>
        <w:tc>
          <w:tcPr>
            <w:tcW w:w="42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34" w:right="0" w:hanging="0"/>
              <w:jc w:val="both"/>
              <w:rPr>
                <w:rFonts w:eastAsia="Calibri"/>
                <w:b/>
                <w:b/>
                <w:bCs/>
                <w:sz w:val="22"/>
                <w:szCs w:val="22"/>
                <w:lang w:eastAsia="ar-SA"/>
              </w:rPr>
            </w:pPr>
            <w:r>
              <w:rPr>
                <w:rFonts w:eastAsia="Calibri"/>
                <w:b/>
                <w:bCs/>
                <w:kern w:val="0"/>
                <w:sz w:val="22"/>
                <w:szCs w:val="22"/>
                <w:lang w:eastAsia="ar-SA"/>
              </w:rPr>
              <w:t>5.2.1.</w:t>
            </w:r>
            <w:r>
              <w:rPr>
                <w:b/>
                <w:kern w:val="0"/>
                <w:sz w:val="22"/>
                <w:szCs w:val="22"/>
              </w:rPr>
              <w:t>Pasūtītāja</w:t>
            </w:r>
            <w:r>
              <w:rPr>
                <w:rFonts w:eastAsia="Calibri"/>
                <w:b/>
                <w:bCs/>
                <w:kern w:val="0"/>
                <w:sz w:val="22"/>
                <w:szCs w:val="22"/>
                <w:lang w:eastAsia="ar-SA"/>
              </w:rPr>
              <w:t>izvirzītā prasība pretendentam</w:t>
            </w:r>
          </w:p>
        </w:tc>
        <w:tc>
          <w:tcPr>
            <w:tcW w:w="59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0" w:right="0" w:hanging="20"/>
              <w:jc w:val="both"/>
              <w:rPr>
                <w:rFonts w:eastAsia="Calibri"/>
                <w:b/>
                <w:b/>
                <w:bCs/>
                <w:sz w:val="22"/>
                <w:szCs w:val="22"/>
                <w:lang w:eastAsia="ar-SA"/>
              </w:rPr>
            </w:pPr>
            <w:r>
              <w:rPr>
                <w:rFonts w:eastAsia="Calibri"/>
                <w:b/>
                <w:bCs/>
                <w:kern w:val="0"/>
                <w:sz w:val="22"/>
                <w:szCs w:val="22"/>
                <w:lang w:eastAsia="ar-SA"/>
              </w:rPr>
              <w:t>5.2.2.</w:t>
              <w:tab/>
              <w:t>Pretendentam jāiesniedz šādi dokumenti</w:t>
            </w:r>
          </w:p>
        </w:tc>
      </w:tr>
      <w:tr>
        <w:trPr/>
        <w:tc>
          <w:tcPr>
            <w:tcW w:w="42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34" w:right="0" w:hanging="0"/>
              <w:jc w:val="both"/>
              <w:rPr>
                <w:rFonts w:eastAsia="Calibri"/>
                <w:bCs/>
                <w:sz w:val="22"/>
                <w:szCs w:val="22"/>
                <w:lang w:eastAsia="ar-SA"/>
              </w:rPr>
            </w:pPr>
            <w:r>
              <w:rPr>
                <w:rFonts w:eastAsia="Calibri"/>
                <w:bCs/>
                <w:kern w:val="0"/>
                <w:sz w:val="22"/>
                <w:szCs w:val="22"/>
                <w:lang w:eastAsia="ar-SA"/>
              </w:rPr>
              <w:t xml:space="preserve">5.2.1.1. </w:t>
            </w:r>
            <w:r>
              <w:rPr>
                <w:kern w:val="0"/>
                <w:sz w:val="22"/>
                <w:szCs w:val="22"/>
              </w:rPr>
              <w:t xml:space="preserve">Pretendenta vidējais NETO finanšu apgrozījums iepriekšējos 3 (trīs) gados </w:t>
            </w:r>
            <w:r>
              <w:rPr>
                <w:rFonts w:eastAsia="Calibri"/>
                <w:bCs/>
                <w:kern w:val="0"/>
                <w:sz w:val="22"/>
                <w:szCs w:val="22"/>
                <w:lang w:eastAsia="ar-SA"/>
              </w:rPr>
              <w:t xml:space="preserve">ir vismaz </w:t>
            </w:r>
            <w:r>
              <w:rPr>
                <w:rFonts w:eastAsia="Calibri"/>
                <w:b/>
                <w:bCs/>
                <w:kern w:val="0"/>
                <w:sz w:val="22"/>
                <w:szCs w:val="22"/>
                <w:lang w:eastAsia="ar-SA"/>
              </w:rPr>
              <w:t xml:space="preserve">EUR </w:t>
            </w:r>
            <w:r>
              <w:rPr>
                <w:rFonts w:eastAsia="Calibri"/>
                <w:b/>
                <w:bCs/>
                <w:kern w:val="0"/>
                <w:sz w:val="22"/>
                <w:szCs w:val="22"/>
                <w:lang w:eastAsia="ar-SA"/>
              </w:rPr>
              <w:t>500</w:t>
            </w:r>
            <w:r>
              <w:rPr>
                <w:rFonts w:eastAsia="Calibri"/>
                <w:b/>
                <w:bCs/>
                <w:kern w:val="0"/>
                <w:sz w:val="22"/>
                <w:szCs w:val="22"/>
                <w:lang w:eastAsia="ar-SA"/>
              </w:rPr>
              <w:t xml:space="preserve"> 000.00 (</w:t>
            </w:r>
            <w:r>
              <w:rPr>
                <w:rFonts w:eastAsia="Calibri"/>
                <w:b/>
                <w:bCs/>
                <w:kern w:val="0"/>
                <w:sz w:val="22"/>
                <w:szCs w:val="22"/>
                <w:lang w:eastAsia="ar-SA"/>
              </w:rPr>
              <w:t>Piecsimt tūkstoši</w:t>
            </w:r>
            <w:r>
              <w:rPr>
                <w:rFonts w:eastAsia="Calibri"/>
                <w:b/>
                <w:bCs/>
                <w:kern w:val="0"/>
                <w:sz w:val="22"/>
                <w:szCs w:val="22"/>
                <w:lang w:eastAsia="ar-SA"/>
              </w:rPr>
              <w:t xml:space="preserve"> euro 00 centi)</w:t>
            </w:r>
            <w:r>
              <w:rPr>
                <w:rFonts w:eastAsia="Calibri"/>
                <w:bCs/>
                <w:kern w:val="0"/>
                <w:sz w:val="22"/>
                <w:szCs w:val="22"/>
                <w:lang w:eastAsia="ar-SA"/>
              </w:rPr>
              <w:t>, ciktāl informācija attiecīgajam pretendentam par šo apgrozījumu ir iespējama.</w:t>
            </w:r>
          </w:p>
        </w:tc>
        <w:tc>
          <w:tcPr>
            <w:tcW w:w="59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0" w:right="52" w:hanging="0"/>
              <w:jc w:val="both"/>
              <w:rPr>
                <w:rFonts w:eastAsia="Calibri"/>
                <w:bCs/>
                <w:sz w:val="22"/>
                <w:szCs w:val="22"/>
                <w:lang w:eastAsia="ar-SA"/>
              </w:rPr>
            </w:pPr>
            <w:r>
              <w:rPr>
                <w:rFonts w:eastAsia="Calibri"/>
                <w:bCs/>
                <w:kern w:val="0"/>
                <w:sz w:val="22"/>
                <w:szCs w:val="22"/>
                <w:lang w:eastAsia="ar-SA"/>
              </w:rPr>
              <w:t xml:space="preserve">5.2.2.1. Pretendenta sagatavots un parakstīts apliecinājums un </w:t>
            </w:r>
            <w:r>
              <w:rPr>
                <w:kern w:val="0"/>
                <w:sz w:val="22"/>
                <w:szCs w:val="22"/>
              </w:rPr>
              <w:t xml:space="preserve">rakstisks aprēķins par vidējo finanšu NETO apgrozījuma veidošanos, </w:t>
            </w:r>
            <w:r>
              <w:rPr>
                <w:rFonts w:eastAsia="Calibri"/>
                <w:bCs/>
                <w:kern w:val="0"/>
                <w:sz w:val="22"/>
                <w:szCs w:val="22"/>
                <w:lang w:eastAsia="ar-SA"/>
              </w:rPr>
              <w:t>par pretendenta gada finanšu NETO apgrozījumu iepriekšējo 3 (trīs) gadu periodā (2022.g., 2023.g. un 2024.g.).</w:t>
            </w:r>
          </w:p>
          <w:p>
            <w:pPr>
              <w:pStyle w:val="Normal"/>
              <w:widowControl w:val="false"/>
              <w:suppressAutoHyphens w:val="true"/>
              <w:spacing w:before="0" w:after="0"/>
              <w:ind w:left="0" w:right="0" w:hanging="0"/>
              <w:jc w:val="both"/>
              <w:rPr>
                <w:rFonts w:eastAsia="Calibri"/>
                <w:bCs/>
                <w:sz w:val="22"/>
                <w:szCs w:val="22"/>
                <w:lang w:eastAsia="ar-SA"/>
              </w:rPr>
            </w:pPr>
            <w:r>
              <w:rPr>
                <w:rFonts w:eastAsia="Calibri"/>
                <w:bCs/>
                <w:kern w:val="0"/>
                <w:sz w:val="22"/>
                <w:szCs w:val="22"/>
                <w:lang w:eastAsia="ar-SA"/>
              </w:rPr>
              <w:t xml:space="preserve">Attiecībā uz pretendentiem, kas savu darbību tirgū uzsākuši vēlāk, apliecinājums par finanšu NETO apgrozījumu iesniedzams par nostrādāto periodu (sadalījumā pa gadiem). </w:t>
            </w:r>
          </w:p>
          <w:p>
            <w:pPr>
              <w:pStyle w:val="Normal"/>
              <w:widowControl w:val="false"/>
              <w:suppressAutoHyphens w:val="true"/>
              <w:spacing w:before="0" w:after="0"/>
              <w:ind w:left="0" w:right="0" w:hanging="20"/>
              <w:jc w:val="both"/>
              <w:rPr>
                <w:rFonts w:eastAsia="Calibri"/>
                <w:bCs/>
                <w:sz w:val="22"/>
                <w:szCs w:val="22"/>
                <w:lang w:eastAsia="ar-SA"/>
              </w:rPr>
            </w:pPr>
            <w:r>
              <w:rPr>
                <w:rFonts w:eastAsia="Calibri"/>
                <w:bCs/>
                <w:kern w:val="0"/>
                <w:sz w:val="22"/>
                <w:szCs w:val="22"/>
                <w:lang w:eastAsia="ar-SA"/>
              </w:rPr>
              <w:t>Ja piedāvājumu iesniedz piegādātāju apvienība (t. sk. personālsabiedrība), šī apakšpunkta prasībām atbilstošs apliecinājums par piegādātāju apvienībā (personālsabiedrībā) iekļauto piegādātāju vidējo katra finanšu NETO apgrozījumu iepriekšējo 3 (trīs) gadu periodā, norādot katram gadam atsevišķi.</w:t>
            </w:r>
          </w:p>
        </w:tc>
      </w:tr>
      <w:tr>
        <w:trPr/>
        <w:tc>
          <w:tcPr>
            <w:tcW w:w="42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34" w:right="0" w:hanging="0"/>
              <w:jc w:val="both"/>
              <w:rPr>
                <w:bCs/>
                <w:sz w:val="22"/>
                <w:szCs w:val="22"/>
              </w:rPr>
            </w:pPr>
            <w:r>
              <w:rPr>
                <w:rFonts w:eastAsia="Calibri"/>
                <w:bCs/>
                <w:kern w:val="0"/>
                <w:sz w:val="22"/>
                <w:szCs w:val="22"/>
                <w:lang w:eastAsia="ar-SA"/>
              </w:rPr>
              <w:t xml:space="preserve">5.2.1.2. Pretendents iepirkuma līguma slēgšanas tiesību piešķiršanas gadījumā </w:t>
            </w:r>
            <w:r>
              <w:rPr>
                <w:rFonts w:eastAsia="Calibri"/>
                <w:kern w:val="0"/>
                <w:sz w:val="22"/>
                <w:szCs w:val="22"/>
              </w:rPr>
              <w:t>spēj nodrošināt, ka 5 (piecu) darba dienu laikā pēc iepirkuma līguma noslēgšanas un pirms Darbu uzsākšanas, iesniegs Pasūtītājam l</w:t>
            </w:r>
            <w:r>
              <w:rPr>
                <w:kern w:val="0"/>
                <w:sz w:val="22"/>
                <w:szCs w:val="22"/>
              </w:rPr>
              <w:t xml:space="preserve">īguma saistību izpildes nodrošinājumu 10% apmērā no piedāvātās līgumcenas (bez PVN), kas var būt </w:t>
            </w:r>
            <w:r>
              <w:rPr>
                <w:rFonts w:eastAsia="Calibri"/>
                <w:bCs/>
                <w:kern w:val="0"/>
                <w:sz w:val="22"/>
                <w:szCs w:val="22"/>
                <w:lang w:eastAsia="ar-SA"/>
              </w:rPr>
              <w:t xml:space="preserve">bankas vai </w:t>
            </w:r>
            <w:r>
              <w:rPr>
                <w:bCs/>
                <w:kern w:val="0"/>
                <w:sz w:val="22"/>
                <w:szCs w:val="22"/>
              </w:rPr>
              <w:t>apdrošināšanas sabiedrības izsniegta garantija.</w:t>
            </w:r>
          </w:p>
        </w:tc>
        <w:tc>
          <w:tcPr>
            <w:tcW w:w="59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0" w:right="0" w:hanging="0"/>
              <w:jc w:val="both"/>
              <w:rPr>
                <w:rFonts w:eastAsia="Calibri"/>
                <w:bCs/>
                <w:sz w:val="22"/>
                <w:szCs w:val="22"/>
                <w:lang w:eastAsia="ar-SA"/>
              </w:rPr>
            </w:pPr>
            <w:r>
              <w:rPr>
                <w:rFonts w:eastAsia="Calibri"/>
                <w:bCs/>
                <w:kern w:val="0"/>
                <w:sz w:val="22"/>
                <w:szCs w:val="22"/>
                <w:lang w:eastAsia="ar-SA"/>
              </w:rPr>
              <w:t xml:space="preserve">5.2.2.2. Pretendenta rakstisks apliecinājums, ka gadījumā, ja pretendentam tiks piešķirtas iepirkuma līguma slēgšanas tiesības pretendents 5 (piecu) darba dienu laikā pēc iepirkuma līguma noslēgšanas un pirms Darbu uzsākšanas, iesniegs Pasūtītājam bankas vai </w:t>
            </w:r>
            <w:r>
              <w:rPr>
                <w:bCs/>
                <w:kern w:val="0"/>
                <w:sz w:val="22"/>
                <w:szCs w:val="22"/>
              </w:rPr>
              <w:t>apdrošināšanas sabiedrības garantiju</w:t>
            </w:r>
            <w:r>
              <w:rPr>
                <w:rFonts w:eastAsia="Calibri"/>
                <w:bCs/>
                <w:kern w:val="0"/>
                <w:sz w:val="22"/>
                <w:szCs w:val="22"/>
                <w:lang w:eastAsia="ar-SA"/>
              </w:rPr>
              <w:t xml:space="preserve"> 10% apmērā no piedāvātās līgumcenas (bez PVN), atbilstoši Nolikumā norādītām prasībām un Iepirkuma Līguma noteikumiem. </w:t>
            </w:r>
          </w:p>
        </w:tc>
      </w:tr>
      <w:tr>
        <w:trPr/>
        <w:tc>
          <w:tcPr>
            <w:tcW w:w="42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34" w:right="0" w:hanging="0"/>
              <w:jc w:val="both"/>
              <w:rPr>
                <w:rFonts w:eastAsia="Calibri"/>
                <w:bCs/>
                <w:sz w:val="22"/>
                <w:szCs w:val="22"/>
                <w:lang w:eastAsia="ar-SA"/>
              </w:rPr>
            </w:pPr>
            <w:r>
              <w:rPr>
                <w:rFonts w:eastAsia="Calibri"/>
                <w:bCs/>
                <w:kern w:val="0"/>
                <w:sz w:val="22"/>
                <w:szCs w:val="22"/>
                <w:lang w:eastAsia="ar-SA"/>
              </w:rPr>
              <w:t xml:space="preserve">5.2.1.3. Pretendents iepirkuma līguma slēgšanas tiesību piešķiršanas gadījumā </w:t>
            </w:r>
            <w:r>
              <w:rPr>
                <w:rFonts w:eastAsia="Calibri"/>
                <w:kern w:val="0"/>
                <w:sz w:val="22"/>
                <w:szCs w:val="22"/>
              </w:rPr>
              <w:t xml:space="preserve">spēj nodrošināt, ka 5 (piecu) darba dienu laikā pēc iepirkuma līguma noslēgšanas un pirms Darbu uzsākšanas, iesniegs Pasūtītājam </w:t>
            </w:r>
            <w:r>
              <w:rPr>
                <w:kern w:val="0"/>
                <w:sz w:val="22"/>
                <w:szCs w:val="22"/>
              </w:rPr>
              <w:t xml:space="preserve">Būvuzņēmēja darbības un būvspeciālistu darbības </w:t>
            </w:r>
            <w:r>
              <w:rPr>
                <w:b/>
                <w:kern w:val="0"/>
                <w:sz w:val="22"/>
                <w:szCs w:val="22"/>
              </w:rPr>
              <w:t>civiltiesiskās atbildības apdrošināšanas polisi</w:t>
            </w:r>
            <w:r>
              <w:rPr>
                <w:kern w:val="0"/>
                <w:sz w:val="22"/>
                <w:szCs w:val="22"/>
              </w:rPr>
              <w:t xml:space="preserve"> un </w:t>
            </w:r>
            <w:r>
              <w:rPr>
                <w:b/>
                <w:kern w:val="0"/>
                <w:sz w:val="22"/>
                <w:szCs w:val="22"/>
              </w:rPr>
              <w:t>visu risku apdrošināšanas polisi,</w:t>
            </w:r>
            <w:r>
              <w:rPr>
                <w:bCs/>
                <w:kern w:val="0"/>
                <w:sz w:val="22"/>
                <w:szCs w:val="22"/>
              </w:rPr>
              <w:t xml:space="preserve"> kuru katras </w:t>
            </w:r>
            <w:r>
              <w:rPr>
                <w:kern w:val="0"/>
                <w:sz w:val="22"/>
                <w:szCs w:val="22"/>
              </w:rPr>
              <w:t xml:space="preserve">kopējais atbildības limits ir ne mazāks </w:t>
            </w:r>
            <w:r>
              <w:rPr>
                <w:kern w:val="0"/>
                <w:sz w:val="22"/>
                <w:szCs w:val="22"/>
              </w:rPr>
              <w:t>par</w:t>
            </w:r>
            <w:r>
              <w:rPr>
                <w:kern w:val="0"/>
                <w:sz w:val="22"/>
                <w:szCs w:val="22"/>
              </w:rPr>
              <w:t xml:space="preserve"> </w:t>
            </w:r>
            <w:r>
              <w:rPr>
                <w:kern w:val="0"/>
                <w:sz w:val="22"/>
                <w:szCs w:val="22"/>
              </w:rPr>
              <w:t>līguma summ</w:t>
            </w:r>
            <w:r>
              <w:rPr>
                <w:kern w:val="0"/>
                <w:sz w:val="22"/>
                <w:szCs w:val="22"/>
              </w:rPr>
              <w:t>u</w:t>
            </w:r>
            <w:r>
              <w:rPr>
                <w:kern w:val="0"/>
                <w:sz w:val="22"/>
                <w:szCs w:val="22"/>
              </w:rPr>
              <w:t xml:space="preserve"> un atbildības limits par katru gadījumu ne mazāks kā </w:t>
            </w:r>
            <w:r>
              <w:rPr>
                <w:kern w:val="0"/>
                <w:sz w:val="22"/>
                <w:szCs w:val="22"/>
              </w:rPr>
              <w:t>60000,00</w:t>
            </w:r>
            <w:r>
              <w:rPr>
                <w:kern w:val="0"/>
                <w:sz w:val="22"/>
                <w:szCs w:val="22"/>
              </w:rPr>
              <w:t xml:space="preserve"> EUR un pašrisks ne lielāks, kā </w:t>
            </w:r>
            <w:r>
              <w:rPr>
                <w:kern w:val="0"/>
                <w:sz w:val="22"/>
                <w:szCs w:val="22"/>
              </w:rPr>
              <w:t>5</w:t>
            </w:r>
            <w:r>
              <w:rPr>
                <w:kern w:val="0"/>
                <w:sz w:val="22"/>
                <w:szCs w:val="22"/>
                <w:shd w:fill="auto" w:val="clear"/>
              </w:rPr>
              <w:t>0</w:t>
            </w:r>
            <w:r>
              <w:rPr>
                <w:kern w:val="0"/>
                <w:sz w:val="22"/>
                <w:szCs w:val="22"/>
                <w:shd w:fill="auto" w:val="clear"/>
              </w:rPr>
              <w:t xml:space="preserve">0,00 </w:t>
            </w:r>
            <w:r>
              <w:rPr>
                <w:kern w:val="0"/>
                <w:sz w:val="22"/>
                <w:szCs w:val="22"/>
              </w:rPr>
              <w:t xml:space="preserve">EUR, un dokumentu, kas apliecina apdrošināšanas prēmijas apmaksu atbilstoši Nolikuma 8.pielikuma 11.1. un 11.3.punktiem. </w:t>
            </w:r>
          </w:p>
          <w:p>
            <w:pPr>
              <w:pStyle w:val="Normal"/>
              <w:widowControl w:val="false"/>
              <w:suppressAutoHyphens w:val="true"/>
              <w:spacing w:before="0" w:after="0"/>
              <w:ind w:left="34" w:right="0" w:hanging="0"/>
              <w:jc w:val="both"/>
              <w:rPr>
                <w:rFonts w:eastAsia="Calibri"/>
                <w:bCs/>
                <w:sz w:val="22"/>
                <w:szCs w:val="22"/>
                <w:lang w:eastAsia="ar-SA"/>
              </w:rPr>
            </w:pPr>
            <w:r>
              <w:rPr>
                <w:rFonts w:eastAsia="Calibri"/>
                <w:bCs/>
                <w:sz w:val="22"/>
                <w:szCs w:val="22"/>
                <w:lang w:eastAsia="ar-SA"/>
              </w:rPr>
            </w:r>
          </w:p>
        </w:tc>
        <w:tc>
          <w:tcPr>
            <w:tcW w:w="59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3" w:right="52" w:hanging="0"/>
              <w:jc w:val="both"/>
              <w:rPr>
                <w:rFonts w:eastAsia="Calibri"/>
                <w:bCs/>
                <w:sz w:val="22"/>
                <w:szCs w:val="22"/>
                <w:lang w:eastAsia="ar-SA"/>
              </w:rPr>
            </w:pPr>
            <w:r>
              <w:rPr>
                <w:kern w:val="0"/>
                <w:sz w:val="22"/>
                <w:szCs w:val="22"/>
              </w:rPr>
              <w:t xml:space="preserve">5.2.2.3. </w:t>
            </w:r>
            <w:r>
              <w:rPr>
                <w:rFonts w:eastAsia="Calibri"/>
                <w:bCs/>
                <w:kern w:val="0"/>
                <w:sz w:val="22"/>
                <w:szCs w:val="22"/>
                <w:lang w:eastAsia="ar-SA"/>
              </w:rPr>
              <w:t xml:space="preserve">Pretendenta rakstisks apliecinājums, ka gadījumā, ja pretendentam tiks piešķirtas iepirkuma līguma slēgšanas tiesības, pretendents 5 (piecu) darba dienu laikā pēc iepirkuma līguma noslēgšanas un pirms Darbu uzsākšanas, iesniegs Pasūtītājam, </w:t>
            </w:r>
            <w:r>
              <w:rPr>
                <w:kern w:val="0"/>
                <w:sz w:val="22"/>
                <w:szCs w:val="22"/>
              </w:rPr>
              <w:t xml:space="preserve">Būvuzņēmēja darbības un būvspeciālistu darbības </w:t>
            </w:r>
            <w:r>
              <w:rPr>
                <w:b/>
                <w:kern w:val="0"/>
                <w:sz w:val="22"/>
                <w:szCs w:val="22"/>
              </w:rPr>
              <w:t>civiltiesiskās atbildības apdrošināšanas polisi</w:t>
            </w:r>
            <w:r>
              <w:rPr>
                <w:kern w:val="0"/>
                <w:sz w:val="22"/>
                <w:szCs w:val="22"/>
              </w:rPr>
              <w:t xml:space="preserve"> un </w:t>
            </w:r>
            <w:r>
              <w:rPr>
                <w:b/>
                <w:kern w:val="0"/>
                <w:sz w:val="22"/>
                <w:szCs w:val="22"/>
              </w:rPr>
              <w:t>visu risku apdrošināšanas polisi</w:t>
            </w:r>
            <w:r>
              <w:rPr>
                <w:kern w:val="0"/>
                <w:sz w:val="22"/>
                <w:szCs w:val="22"/>
              </w:rPr>
              <w:t>, atbilstoši Nolikuma 8.pielikuma 3.2.1. un 3.2.2.punktiem.</w:t>
            </w:r>
          </w:p>
        </w:tc>
      </w:tr>
    </w:tbl>
    <w:p>
      <w:pPr>
        <w:pStyle w:val="Style11"/>
        <w:rPr>
          <w:sz w:val="22"/>
          <w:szCs w:val="22"/>
          <w:highlight w:val="yellow"/>
          <w:lang w:val="lv-LV"/>
        </w:rPr>
      </w:pPr>
      <w:r>
        <w:rPr>
          <w:sz w:val="22"/>
          <w:szCs w:val="22"/>
          <w:highlight w:val="yellow"/>
          <w:lang w:val="lv-LV"/>
        </w:rPr>
      </w:r>
    </w:p>
    <w:p>
      <w:pPr>
        <w:pStyle w:val="Style11"/>
        <w:rPr>
          <w:sz w:val="22"/>
          <w:szCs w:val="22"/>
          <w:lang w:val="lv-LV"/>
        </w:rPr>
      </w:pPr>
      <w:r>
        <w:rPr>
          <w:sz w:val="22"/>
          <w:szCs w:val="22"/>
          <w:lang w:val="lv-LV"/>
        </w:rPr>
        <w:t>5.3.Prasības tehniskajām un profesionālajām spējām:</w:t>
      </w:r>
    </w:p>
    <w:tbl>
      <w:tblPr>
        <w:tblStyle w:val="12"/>
        <w:tblW w:w="10220" w:type="dxa"/>
        <w:jc w:val="left"/>
        <w:tblInd w:w="-572" w:type="dxa"/>
        <w:tblLayout w:type="fixed"/>
        <w:tblCellMar>
          <w:top w:w="0" w:type="dxa"/>
          <w:left w:w="108" w:type="dxa"/>
          <w:bottom w:w="0" w:type="dxa"/>
          <w:right w:w="108" w:type="dxa"/>
        </w:tblCellMar>
      </w:tblPr>
      <w:tblGrid>
        <w:gridCol w:w="4280"/>
        <w:gridCol w:w="5939"/>
      </w:tblGrid>
      <w:tr>
        <w:trPr/>
        <w:tc>
          <w:tcPr>
            <w:tcW w:w="4280" w:type="dxa"/>
            <w:tcBorders>
              <w:top w:val="single" w:sz="4" w:space="0" w:color="000000"/>
              <w:left w:val="single" w:sz="4" w:space="0" w:color="000000"/>
              <w:bottom w:val="single" w:sz="4" w:space="0" w:color="000000"/>
              <w:right w:val="single" w:sz="4" w:space="0" w:color="000000"/>
            </w:tcBorders>
            <w:shd w:color="auto" w:fill="auto" w:val="clear"/>
          </w:tcPr>
          <w:p>
            <w:pPr>
              <w:pStyle w:val="Style11"/>
              <w:widowControl w:val="false"/>
              <w:suppressAutoHyphens w:val="true"/>
              <w:spacing w:before="0" w:after="0"/>
              <w:rPr>
                <w:sz w:val="22"/>
                <w:szCs w:val="22"/>
                <w:lang w:val="lv-LV"/>
              </w:rPr>
            </w:pPr>
            <w:r>
              <w:rPr>
                <w:kern w:val="0"/>
                <w:sz w:val="22"/>
                <w:szCs w:val="22"/>
                <w:lang w:val="lv-LV"/>
              </w:rPr>
              <w:t>5.3.1.Pasūtītāja izvirzītā prasība pretendentam</w:t>
            </w:r>
          </w:p>
        </w:tc>
        <w:tc>
          <w:tcPr>
            <w:tcW w:w="59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35" w:right="0" w:hanging="35"/>
              <w:jc w:val="both"/>
              <w:rPr>
                <w:rFonts w:eastAsia="Calibri"/>
                <w:b/>
                <w:b/>
                <w:bCs/>
                <w:sz w:val="22"/>
                <w:szCs w:val="22"/>
                <w:lang w:eastAsia="ar-SA"/>
              </w:rPr>
            </w:pPr>
            <w:r>
              <w:rPr>
                <w:rFonts w:eastAsia="Calibri"/>
                <w:b/>
                <w:bCs/>
                <w:kern w:val="0"/>
                <w:sz w:val="22"/>
                <w:szCs w:val="22"/>
                <w:lang w:eastAsia="ar-SA"/>
              </w:rPr>
              <w:t>5.3.2. Pretendentam jāiesniedz šādi dokumenti</w:t>
            </w:r>
          </w:p>
        </w:tc>
      </w:tr>
      <w:tr>
        <w:trPr/>
        <w:tc>
          <w:tcPr>
            <w:tcW w:w="42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0" w:right="0" w:hanging="0"/>
              <w:jc w:val="both"/>
              <w:rPr>
                <w:sz w:val="22"/>
                <w:szCs w:val="22"/>
              </w:rPr>
            </w:pPr>
            <w:r>
              <w:rPr>
                <w:kern w:val="0"/>
                <w:sz w:val="22"/>
                <w:szCs w:val="22"/>
              </w:rPr>
              <w:t xml:space="preserve">5.3.1.1. Pretendentam </w:t>
            </w:r>
            <w:r>
              <w:rPr>
                <w:b/>
                <w:kern w:val="0"/>
                <w:sz w:val="22"/>
                <w:szCs w:val="22"/>
              </w:rPr>
              <w:t>5 (piecos)</w:t>
            </w:r>
            <w:r>
              <w:rPr>
                <w:kern w:val="0"/>
                <w:sz w:val="22"/>
                <w:szCs w:val="22"/>
              </w:rPr>
              <w:t xml:space="preserve"> iepriekšējos gados ir jābūt galvenā būvuzņēmēja pieredzei vismaz:</w:t>
            </w:r>
          </w:p>
          <w:p>
            <w:pPr>
              <w:pStyle w:val="Normal"/>
              <w:widowControl w:val="false"/>
              <w:suppressAutoHyphens w:val="true"/>
              <w:spacing w:before="0" w:after="0"/>
              <w:ind w:left="0" w:right="0" w:hanging="0"/>
              <w:jc w:val="both"/>
              <w:rPr>
                <w:sz w:val="22"/>
                <w:szCs w:val="22"/>
              </w:rPr>
            </w:pPr>
            <w:r>
              <w:rPr>
                <w:b/>
                <w:bCs/>
                <w:kern w:val="0"/>
                <w:sz w:val="22"/>
                <w:szCs w:val="22"/>
              </w:rPr>
              <w:t xml:space="preserve">a) </w:t>
            </w:r>
            <w:r>
              <w:rPr>
                <w:kern w:val="0"/>
                <w:sz w:val="22"/>
                <w:szCs w:val="22"/>
              </w:rPr>
              <w:t xml:space="preserve">vienā objektā, kurā veikti jumta seguma vai fasādes, vai  būvkonstrukciju montāžas darbi vismaz </w:t>
            </w:r>
            <w:r>
              <w:rPr>
                <w:b/>
                <w:bCs/>
                <w:kern w:val="0"/>
                <w:sz w:val="22"/>
                <w:szCs w:val="22"/>
              </w:rPr>
              <w:t xml:space="preserve">2 000.00 </w:t>
            </w:r>
            <w:r>
              <w:rPr>
                <w:b/>
                <w:kern w:val="0"/>
                <w:sz w:val="22"/>
                <w:szCs w:val="22"/>
              </w:rPr>
              <w:t>m2</w:t>
            </w:r>
            <w:r>
              <w:rPr>
                <w:kern w:val="0"/>
                <w:sz w:val="22"/>
                <w:szCs w:val="22"/>
              </w:rPr>
              <w:t xml:space="preserve"> platībā un šajā objektā būvdarbi līgumā noteiktajā termiņā un kvalitātē ir pilnībā pabeigti un objekts pieņemts ekspluatācijā, un </w:t>
            </w:r>
          </w:p>
          <w:p>
            <w:pPr>
              <w:pStyle w:val="Normal"/>
              <w:widowControl w:val="false"/>
              <w:suppressAutoHyphens w:val="true"/>
              <w:spacing w:before="0" w:after="0"/>
              <w:ind w:left="0" w:right="0" w:hanging="0"/>
              <w:jc w:val="both"/>
              <w:rPr>
                <w:sz w:val="22"/>
                <w:szCs w:val="22"/>
              </w:rPr>
            </w:pPr>
            <w:r>
              <w:rPr>
                <w:rFonts w:eastAsia="Calibri"/>
                <w:b/>
                <w:kern w:val="0"/>
                <w:sz w:val="22"/>
                <w:szCs w:val="22"/>
              </w:rPr>
              <w:t xml:space="preserve">b) </w:t>
            </w:r>
            <w:r>
              <w:rPr>
                <w:kern w:val="0"/>
                <w:sz w:val="22"/>
                <w:szCs w:val="22"/>
              </w:rPr>
              <w:t xml:space="preserve">vienā objektā, kurā veikti būvdarbi vismaz </w:t>
            </w:r>
            <w:r>
              <w:rPr>
                <w:b/>
                <w:bCs/>
                <w:kern w:val="0"/>
                <w:sz w:val="22"/>
                <w:szCs w:val="22"/>
              </w:rPr>
              <w:t>EUR</w:t>
            </w:r>
            <w:r>
              <w:rPr>
                <w:b/>
                <w:bCs/>
                <w:kern w:val="0"/>
                <w:sz w:val="22"/>
                <w:szCs w:val="22"/>
                <w:shd w:fill="auto" w:val="clear"/>
              </w:rPr>
              <w:t xml:space="preserve"> 500 000.00</w:t>
            </w:r>
            <w:r>
              <w:rPr>
                <w:kern w:val="0"/>
                <w:sz w:val="22"/>
                <w:szCs w:val="22"/>
                <w:shd w:fill="auto" w:val="clear"/>
              </w:rPr>
              <w:t xml:space="preserve"> </w:t>
            </w:r>
            <w:r>
              <w:rPr>
                <w:kern w:val="0"/>
                <w:sz w:val="22"/>
                <w:szCs w:val="22"/>
              </w:rPr>
              <w:t>bez PVN vērtībā un šajā objektā būvdarbi līgumā noteiktajā termiņā un kvalitātē ir pilnībā pabeigti.</w:t>
            </w:r>
          </w:p>
          <w:p>
            <w:pPr>
              <w:pStyle w:val="Normal"/>
              <w:widowControl w:val="false"/>
              <w:suppressAutoHyphens w:val="true"/>
              <w:spacing w:before="0" w:after="0"/>
              <w:ind w:left="0" w:right="0" w:hanging="0"/>
              <w:jc w:val="both"/>
              <w:rPr>
                <w:rFonts w:eastAsia="Calibri"/>
                <w:b/>
                <w:b/>
                <w:sz w:val="22"/>
                <w:szCs w:val="22"/>
                <w:lang w:eastAsia="ar-SA"/>
              </w:rPr>
            </w:pPr>
            <w:r>
              <w:rPr>
                <w:rFonts w:eastAsia="Calibri"/>
                <w:b/>
                <w:kern w:val="0"/>
                <w:sz w:val="22"/>
                <w:szCs w:val="22"/>
                <w:lang w:eastAsia="ar-SA"/>
              </w:rPr>
              <w:t>a) un b) apakšpunktos Prete</w:t>
            </w:r>
            <w:bookmarkStart w:id="120" w:name="_Hlk78461674"/>
            <w:r>
              <w:rPr>
                <w:rFonts w:eastAsia="Calibri"/>
                <w:b/>
                <w:kern w:val="0"/>
                <w:sz w:val="22"/>
                <w:szCs w:val="22"/>
                <w:lang w:eastAsia="ar-SA"/>
              </w:rPr>
              <w:t>n</w:t>
            </w:r>
            <w:bookmarkEnd w:id="120"/>
            <w:r>
              <w:rPr>
                <w:rFonts w:eastAsia="Calibri"/>
                <w:b/>
                <w:kern w:val="0"/>
                <w:sz w:val="22"/>
                <w:szCs w:val="22"/>
                <w:lang w:eastAsia="ar-SA"/>
              </w:rPr>
              <w:t>dents</w:t>
            </w:r>
            <w:bookmarkStart w:id="121" w:name="_Hlk78461643"/>
            <w:r>
              <w:rPr>
                <w:rFonts w:eastAsia="Calibri"/>
                <w:b/>
                <w:kern w:val="0"/>
                <w:sz w:val="22"/>
                <w:szCs w:val="22"/>
                <w:lang w:eastAsia="ar-SA"/>
              </w:rPr>
              <w:t xml:space="preserve"> nav </w:t>
            </w:r>
            <w:bookmarkStart w:id="122" w:name="_Hlk78461659"/>
            <w:bookmarkEnd w:id="121"/>
            <w:r>
              <w:rPr>
                <w:rFonts w:eastAsia="Calibri"/>
                <w:b/>
                <w:kern w:val="0"/>
                <w:sz w:val="22"/>
                <w:szCs w:val="22"/>
                <w:lang w:eastAsia="ar-SA"/>
              </w:rPr>
              <w:t>tiesīgs atsaukties uz vienu objektu.</w:t>
            </w:r>
            <w:bookmarkEnd w:id="122"/>
            <w:r>
              <w:rPr>
                <w:rFonts w:eastAsia="Calibri"/>
                <w:b/>
                <w:kern w:val="0"/>
                <w:sz w:val="22"/>
                <w:szCs w:val="22"/>
                <w:lang w:eastAsia="ar-SA"/>
              </w:rPr>
              <w:t xml:space="preserve">  </w:t>
            </w:r>
          </w:p>
          <w:p>
            <w:pPr>
              <w:pStyle w:val="Normal"/>
              <w:widowControl w:val="false"/>
              <w:suppressAutoHyphens w:val="true"/>
              <w:spacing w:before="0" w:after="0"/>
              <w:ind w:left="12" w:right="0" w:hanging="0"/>
              <w:jc w:val="both"/>
              <w:rPr>
                <w:rFonts w:eastAsia="Calibri"/>
                <w:bCs/>
                <w:sz w:val="22"/>
                <w:szCs w:val="22"/>
                <w:lang w:eastAsia="ar-SA"/>
              </w:rPr>
            </w:pPr>
            <w:r>
              <w:rPr>
                <w:rFonts w:eastAsia="Calibri"/>
                <w:b/>
                <w:bCs/>
                <w:kern w:val="0"/>
                <w:sz w:val="22"/>
                <w:szCs w:val="22"/>
                <w:lang w:eastAsia="ar-SA"/>
              </w:rPr>
              <w:t>Piezīme.</w:t>
            </w:r>
            <w:r>
              <w:rPr>
                <w:rFonts w:eastAsia="Calibri"/>
                <w:bCs/>
                <w:kern w:val="0"/>
                <w:sz w:val="22"/>
                <w:szCs w:val="22"/>
                <w:lang w:eastAsia="ar-SA"/>
              </w:rPr>
              <w:t xml:space="preserve"> Ja piedāvājumu iesniedz personu apvienība, tad vismaz vienam no visiem personu apvienības dalībniekiem ir jābūt nolikuma 5.3.1.1.apakšpunkta prasībai atbilstošai pieredzei.</w:t>
            </w:r>
          </w:p>
        </w:tc>
        <w:tc>
          <w:tcPr>
            <w:tcW w:w="5939"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true"/>
              <w:spacing w:before="0" w:after="0"/>
              <w:ind w:left="35" w:right="0" w:hanging="0"/>
              <w:jc w:val="both"/>
              <w:rPr>
                <w:rFonts w:ascii="Times New Roman" w:hAnsi="Times New Roman"/>
                <w:bCs/>
                <w:lang w:eastAsia="ar-SA"/>
              </w:rPr>
            </w:pPr>
            <w:r>
              <w:rPr>
                <w:rFonts w:ascii="Times New Roman" w:hAnsi="Times New Roman"/>
                <w:bCs/>
                <w:kern w:val="0"/>
                <w:lang w:eastAsia="ar-SA"/>
              </w:rPr>
              <w:t xml:space="preserve">5.3.2.1. </w:t>
            </w:r>
            <w:r>
              <w:rPr>
                <w:rFonts w:ascii="Times New Roman" w:hAnsi="Times New Roman"/>
                <w:b/>
                <w:bCs/>
                <w:kern w:val="0"/>
                <w:lang w:eastAsia="ar-SA"/>
              </w:rPr>
              <w:t xml:space="preserve">a) </w:t>
            </w:r>
            <w:r>
              <w:rPr>
                <w:rFonts w:ascii="Times New Roman" w:hAnsi="Times New Roman"/>
                <w:bCs/>
                <w:iCs/>
                <w:kern w:val="0"/>
                <w:lang w:eastAsia="ar-SA"/>
              </w:rPr>
              <w:t xml:space="preserve">Pretendenta sagatavota informācija par </w:t>
            </w:r>
            <w:r>
              <w:rPr>
                <w:rFonts w:ascii="Times New Roman" w:hAnsi="Times New Roman"/>
                <w:bCs/>
                <w:kern w:val="0"/>
                <w:lang w:eastAsia="ar-SA"/>
              </w:rPr>
              <w:t>atbilstību iepirkuma nolikuma 5.3.1.1.apakšpunktā noteiktajām prasībām, saskaņā ar 4.pielikumā pievienoto formu, un norādot objekta nosaukumu, objektā veikto darbu aprakstu, būvobjekta apjomus (m</w:t>
            </w:r>
            <w:r>
              <w:rPr>
                <w:rFonts w:ascii="Times New Roman" w:hAnsi="Times New Roman"/>
                <w:bCs/>
                <w:kern w:val="0"/>
                <w:vertAlign w:val="superscript"/>
                <w:lang w:eastAsia="ar-SA"/>
              </w:rPr>
              <w:t>2</w:t>
            </w:r>
            <w:r>
              <w:rPr>
                <w:rFonts w:ascii="Times New Roman" w:hAnsi="Times New Roman"/>
                <w:bCs/>
                <w:kern w:val="0"/>
                <w:lang w:eastAsia="ar-SA"/>
              </w:rPr>
              <w:t>), objektu pasūtītāju nosaukumus, adreses un kontaktpersonas, objektu nodošanas ekspluatācijā gadu/mēnesi);</w:t>
            </w:r>
          </w:p>
          <w:p>
            <w:pPr>
              <w:pStyle w:val="ListParagraph"/>
              <w:widowControl w:val="false"/>
              <w:suppressAutoHyphens w:val="true"/>
              <w:spacing w:before="0" w:after="0"/>
              <w:ind w:left="35" w:right="0" w:hanging="0"/>
              <w:jc w:val="both"/>
              <w:rPr>
                <w:rFonts w:ascii="Times New Roman" w:hAnsi="Times New Roman"/>
                <w:bCs/>
                <w:strike/>
                <w:lang w:eastAsia="ar-SA"/>
              </w:rPr>
            </w:pPr>
            <w:r>
              <w:rPr>
                <w:rFonts w:ascii="Times New Roman" w:hAnsi="Times New Roman"/>
                <w:b/>
                <w:kern w:val="0"/>
                <w:lang w:eastAsia="ar-SA"/>
              </w:rPr>
              <w:t xml:space="preserve">b) </w:t>
            </w:r>
            <w:r>
              <w:rPr>
                <w:rFonts w:ascii="Times New Roman" w:hAnsi="Times New Roman"/>
                <w:bCs/>
                <w:kern w:val="0"/>
                <w:lang w:eastAsia="ar-SA"/>
              </w:rPr>
              <w:t xml:space="preserve">izdrukas no Būvniecības informācijas sistēmas (BIS), kas apliecina objektu, uz kuriem Pretendents atsaucas, nodošanu ekspluatācijā; </w:t>
            </w:r>
          </w:p>
          <w:p>
            <w:pPr>
              <w:pStyle w:val="Normal"/>
              <w:widowControl w:val="false"/>
              <w:suppressAutoHyphens w:val="true"/>
              <w:spacing w:before="0" w:after="0"/>
              <w:ind w:left="35" w:right="0" w:hanging="35"/>
              <w:jc w:val="both"/>
              <w:rPr>
                <w:rFonts w:eastAsia="Calibri"/>
                <w:bCs/>
                <w:sz w:val="22"/>
                <w:szCs w:val="22"/>
                <w:lang w:eastAsia="ar-SA"/>
              </w:rPr>
            </w:pPr>
            <w:r>
              <w:rPr>
                <w:rFonts w:eastAsia="Calibri"/>
                <w:b/>
                <w:bCs/>
                <w:kern w:val="0"/>
                <w:sz w:val="22"/>
                <w:szCs w:val="22"/>
                <w:lang w:eastAsia="ar-SA"/>
              </w:rPr>
              <w:t>c)</w:t>
            </w:r>
            <w:r>
              <w:rPr>
                <w:rFonts w:eastAsia="Calibri"/>
                <w:bCs/>
                <w:kern w:val="0"/>
                <w:sz w:val="22"/>
                <w:szCs w:val="22"/>
                <w:lang w:eastAsia="ar-SA"/>
              </w:rPr>
              <w:t xml:space="preserve"> vismaz 1 pozitīva atsauksme par katra 5.3.1.1.punktā norādītā veida objektu, kurā tiek iekļauta 5.3.1.1.apakšpunktā pieprasītā informācija par pretendenta piedāvājumā norādītajiem objektiem, kas atbilst šajā punktā izvirzītajām prasībām. Atsauksme tiek uzskatīta par pozitīvu, ja pārbūves vai rekonstrukcijas darbi ir veikti būvdarbu līgumā noteiktajā kvalitātē un termiņā.</w:t>
            </w:r>
          </w:p>
          <w:p>
            <w:pPr>
              <w:pStyle w:val="Normal"/>
              <w:widowControl w:val="false"/>
              <w:suppressAutoHyphens w:val="true"/>
              <w:spacing w:before="0" w:after="0"/>
              <w:ind w:left="35" w:right="0" w:hanging="35"/>
              <w:jc w:val="both"/>
              <w:rPr>
                <w:rFonts w:eastAsia="Calibri"/>
                <w:bCs/>
                <w:sz w:val="22"/>
                <w:szCs w:val="22"/>
                <w:lang w:eastAsia="ar-SA"/>
              </w:rPr>
            </w:pPr>
            <w:r>
              <w:rPr>
                <w:rFonts w:eastAsia="Calibri"/>
                <w:bCs/>
                <w:kern w:val="0"/>
                <w:sz w:val="22"/>
                <w:szCs w:val="22"/>
                <w:lang w:eastAsia="ar-SA"/>
              </w:rPr>
              <w:t>Gadījumā, ja atsauksmē netiks iekļauta visa šajā punktā norādītā informācija, Pasūtītājs ir tiesīgs pats pieprasīt informāciju no būvdarbu pasūtītāja.</w:t>
            </w:r>
          </w:p>
          <w:p>
            <w:pPr>
              <w:pStyle w:val="Normal"/>
              <w:widowControl w:val="false"/>
              <w:suppressAutoHyphens w:val="true"/>
              <w:spacing w:before="0" w:after="0"/>
              <w:ind w:left="35" w:right="0" w:hanging="35"/>
              <w:jc w:val="both"/>
              <w:rPr>
                <w:rFonts w:eastAsia="Calibri"/>
                <w:bCs/>
                <w:sz w:val="22"/>
                <w:szCs w:val="22"/>
                <w:lang w:eastAsia="ar-SA"/>
              </w:rPr>
            </w:pPr>
            <w:r>
              <w:rPr>
                <w:rFonts w:eastAsia="Calibri"/>
                <w:b/>
                <w:bCs/>
                <w:kern w:val="0"/>
                <w:sz w:val="22"/>
                <w:szCs w:val="22"/>
                <w:lang w:eastAsia="ar-SA"/>
              </w:rPr>
              <w:t>Piezīme:</w:t>
            </w:r>
            <w:r>
              <w:rPr>
                <w:rFonts w:eastAsia="Calibri"/>
                <w:bCs/>
                <w:kern w:val="0"/>
                <w:sz w:val="22"/>
                <w:szCs w:val="22"/>
                <w:lang w:eastAsia="ar-SA"/>
              </w:rPr>
              <w:t xml:space="preserve"> Šādu nosacījumu attiecībā uz atsauksmēs iekļaujamo informāciju Pasūtītājs ir izvirzījis, lai gūtu informāciju par pretendenta iespējām nodrošināt iepirkuma līguma izpildi, t.i. savlaicīga un kvalitatīva būvdarbu veikšanu.</w:t>
            </w:r>
          </w:p>
        </w:tc>
      </w:tr>
      <w:tr>
        <w:trPr/>
        <w:tc>
          <w:tcPr>
            <w:tcW w:w="428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suppressAutoHyphens w:val="true"/>
              <w:spacing w:before="0" w:after="0"/>
              <w:ind w:left="0" w:right="0" w:hanging="0"/>
              <w:jc w:val="both"/>
              <w:rPr>
                <w:sz w:val="22"/>
                <w:szCs w:val="22"/>
              </w:rPr>
            </w:pPr>
            <w:r>
              <w:rPr>
                <w:kern w:val="0"/>
                <w:sz w:val="22"/>
                <w:szCs w:val="22"/>
              </w:rPr>
              <w:t>5.3.1.2. Pretendents var nodrošināt šādus galvenos speciālistus.</w:t>
            </w:r>
          </w:p>
          <w:p>
            <w:pPr>
              <w:pStyle w:val="NoSpacing"/>
              <w:widowControl w:val="false"/>
              <w:suppressAutoHyphens w:val="true"/>
              <w:spacing w:before="0" w:after="0"/>
              <w:ind w:left="318" w:right="0" w:hanging="318"/>
              <w:jc w:val="both"/>
              <w:rPr>
                <w:bCs/>
                <w:i/>
                <w:i/>
                <w:sz w:val="22"/>
                <w:szCs w:val="22"/>
              </w:rPr>
            </w:pPr>
            <w:r>
              <w:rPr>
                <w:b/>
                <w:kern w:val="0"/>
                <w:sz w:val="22"/>
                <w:szCs w:val="22"/>
              </w:rPr>
              <w:t>1)</w:t>
            </w:r>
            <w:r>
              <w:rPr>
                <w:bCs/>
                <w:kern w:val="0"/>
                <w:sz w:val="22"/>
                <w:szCs w:val="22"/>
              </w:rPr>
              <w:t xml:space="preserve"> </w:t>
            </w:r>
            <w:r>
              <w:rPr>
                <w:b/>
                <w:kern w:val="0"/>
                <w:sz w:val="22"/>
                <w:szCs w:val="22"/>
              </w:rPr>
              <w:t>Vienu atbildīgo būvdarbu vadītāju</w:t>
            </w:r>
            <w:r>
              <w:rPr>
                <w:bCs/>
                <w:kern w:val="0"/>
                <w:sz w:val="22"/>
                <w:szCs w:val="22"/>
              </w:rPr>
              <w:t xml:space="preserve">, kurš ir ieguvis sertifikāciju atbilstoši LR normatīvo aktu prasībām būvniecības jomā - būvprakses sertifikātu ēku būvdarbu vadīšanā, sertifikācija ir spēkā esoša; </w:t>
            </w:r>
          </w:p>
          <w:p>
            <w:pPr>
              <w:pStyle w:val="NoSpacing"/>
              <w:widowControl w:val="false"/>
              <w:suppressAutoHyphens w:val="true"/>
              <w:spacing w:before="0" w:after="0"/>
              <w:ind w:left="252" w:right="0" w:hanging="252"/>
              <w:jc w:val="both"/>
              <w:rPr>
                <w:bCs/>
                <w:sz w:val="22"/>
                <w:szCs w:val="22"/>
              </w:rPr>
            </w:pPr>
            <w:r>
              <w:rPr>
                <w:b/>
                <w:kern w:val="0"/>
                <w:sz w:val="22"/>
                <w:szCs w:val="22"/>
              </w:rPr>
              <w:t>2)</w:t>
            </w:r>
            <w:r>
              <w:rPr>
                <w:bCs/>
                <w:kern w:val="0"/>
                <w:sz w:val="22"/>
                <w:szCs w:val="22"/>
              </w:rPr>
              <w:t xml:space="preserve"> </w:t>
            </w:r>
            <w:r>
              <w:rPr>
                <w:b/>
                <w:kern w:val="0"/>
                <w:sz w:val="22"/>
                <w:szCs w:val="22"/>
              </w:rPr>
              <w:t>Par ugunsdrošību atbildīgo personu</w:t>
            </w:r>
            <w:r>
              <w:rPr>
                <w:bCs/>
                <w:kern w:val="0"/>
                <w:sz w:val="22"/>
                <w:szCs w:val="22"/>
              </w:rPr>
              <w:t>, kura apguvusi atbilstošu apmācību ugunsdrošības jomā, saskaņā ar Ministru kabineta 2016.gada 19.aprīļa noteikumiem Nr. 238 „Ugunsdrošības noteikumi”.</w:t>
            </w:r>
          </w:p>
          <w:p>
            <w:pPr>
              <w:pStyle w:val="NoSpacing"/>
              <w:widowControl w:val="false"/>
              <w:suppressAutoHyphens w:val="true"/>
              <w:spacing w:before="0" w:after="0"/>
              <w:ind w:left="252" w:right="0" w:hanging="252"/>
              <w:jc w:val="both"/>
              <w:rPr>
                <w:sz w:val="22"/>
                <w:szCs w:val="22"/>
              </w:rPr>
            </w:pPr>
            <w:r>
              <w:rPr>
                <w:sz w:val="22"/>
                <w:szCs w:val="22"/>
              </w:rPr>
            </w:r>
          </w:p>
        </w:tc>
        <w:tc>
          <w:tcPr>
            <w:tcW w:w="5939" w:type="dxa"/>
            <w:tcBorders>
              <w:top w:val="single" w:sz="4" w:space="0" w:color="000000"/>
              <w:left w:val="single" w:sz="4" w:space="0" w:color="000000"/>
              <w:bottom w:val="single" w:sz="4" w:space="0" w:color="000000"/>
              <w:right w:val="single" w:sz="4" w:space="0" w:color="000000"/>
            </w:tcBorders>
            <w:shd w:color="auto" w:fill="auto" w:val="clear"/>
          </w:tcPr>
          <w:p>
            <w:pPr>
              <w:pStyle w:val="Default"/>
              <w:widowControl w:val="false"/>
              <w:suppressAutoHyphens w:val="true"/>
              <w:spacing w:before="0" w:after="0"/>
              <w:jc w:val="left"/>
              <w:rPr>
                <w:color w:val="auto"/>
                <w:sz w:val="22"/>
                <w:szCs w:val="22"/>
              </w:rPr>
            </w:pPr>
            <w:r>
              <w:rPr>
                <w:kern w:val="0"/>
                <w:sz w:val="22"/>
                <w:szCs w:val="22"/>
              </w:rPr>
              <w:t>5.3</w:t>
            </w:r>
            <w:r>
              <w:rPr>
                <w:color w:val="auto"/>
                <w:kern w:val="0"/>
                <w:sz w:val="22"/>
                <w:szCs w:val="22"/>
              </w:rPr>
              <w:t xml:space="preserve">.2.2.piedāvāto speciālistu </w:t>
            </w:r>
            <w:r>
              <w:rPr>
                <w:bCs/>
                <w:color w:val="auto"/>
                <w:kern w:val="0"/>
                <w:sz w:val="22"/>
                <w:szCs w:val="22"/>
              </w:rPr>
              <w:t>profesionālās kvalifikācijas, izglītības un darba apraksts (CV, oriģināls), atbilstoši nolikuma 5.pielikumā pievienotajai formai</w:t>
            </w:r>
            <w:r>
              <w:rPr>
                <w:color w:val="auto"/>
                <w:kern w:val="0"/>
                <w:sz w:val="22"/>
                <w:szCs w:val="22"/>
              </w:rPr>
              <w:t>.</w:t>
            </w:r>
          </w:p>
          <w:p>
            <w:pPr>
              <w:pStyle w:val="Default"/>
              <w:widowControl w:val="false"/>
              <w:suppressAutoHyphens w:val="true"/>
              <w:spacing w:before="0" w:after="0"/>
              <w:jc w:val="left"/>
              <w:rPr>
                <w:color w:val="auto"/>
                <w:sz w:val="22"/>
                <w:szCs w:val="22"/>
              </w:rPr>
            </w:pPr>
            <w:r>
              <w:rPr>
                <w:b/>
                <w:color w:val="auto"/>
                <w:kern w:val="0"/>
                <w:sz w:val="22"/>
                <w:szCs w:val="22"/>
              </w:rPr>
              <w:t>Piezīme:</w:t>
            </w:r>
            <w:r>
              <w:rPr>
                <w:color w:val="auto"/>
                <w:kern w:val="0"/>
                <w:sz w:val="22"/>
                <w:szCs w:val="22"/>
              </w:rPr>
              <w:t xml:space="preserve"> Viens speciālists var veikt vairāku speciālistu pienākumus, ja tam ir atbilstoša kvalifikācija un pieredze.</w:t>
            </w:r>
          </w:p>
          <w:p>
            <w:pPr>
              <w:pStyle w:val="Default"/>
              <w:widowControl w:val="false"/>
              <w:suppressAutoHyphens w:val="true"/>
              <w:spacing w:before="0" w:after="0"/>
              <w:jc w:val="left"/>
              <w:rPr>
                <w:bCs/>
                <w:i/>
                <w:i/>
                <w:color w:val="auto"/>
                <w:sz w:val="22"/>
                <w:szCs w:val="22"/>
              </w:rPr>
            </w:pPr>
            <w:r>
              <w:rPr>
                <w:bCs/>
                <w:i/>
                <w:color w:val="auto"/>
                <w:kern w:val="0"/>
                <w:sz w:val="22"/>
                <w:szCs w:val="22"/>
              </w:rPr>
              <w:t>Par būvprakses sertifikātu esamību iepirkuma Pasūtītājs pārliecinās Būvniecības informācijas sistēmā (BIS).</w:t>
            </w:r>
          </w:p>
          <w:p>
            <w:pPr>
              <w:pStyle w:val="Default"/>
              <w:widowControl w:val="false"/>
              <w:suppressAutoHyphens w:val="true"/>
              <w:spacing w:before="0" w:after="0"/>
              <w:jc w:val="left"/>
              <w:rPr>
                <w:i/>
                <w:i/>
                <w:color w:val="auto"/>
                <w:sz w:val="22"/>
                <w:szCs w:val="22"/>
              </w:rPr>
            </w:pPr>
            <w:r>
              <w:rPr>
                <w:i/>
                <w:color w:val="auto"/>
                <w:kern w:val="0"/>
                <w:sz w:val="22"/>
                <w:szCs w:val="22"/>
              </w:rPr>
              <w:t>Ārvalstu pretendenta personāla kvalifikācijai jāatbilst speciālista reģistrācijas valsts, kurā speciālists pastāvīgi strādā, attiecīgajā profesijā prasībām noteiktu pakalpojumu sniegšanai.</w:t>
            </w:r>
          </w:p>
          <w:p>
            <w:pPr>
              <w:pStyle w:val="Normal"/>
              <w:widowControl w:val="false"/>
              <w:suppressAutoHyphens w:val="true"/>
              <w:spacing w:before="0" w:after="0"/>
              <w:ind w:left="0" w:right="0" w:hanging="0"/>
              <w:jc w:val="both"/>
              <w:rPr>
                <w:rFonts w:eastAsia="Calibri"/>
                <w:bCs/>
                <w:iCs/>
                <w:sz w:val="22"/>
                <w:szCs w:val="22"/>
                <w:lang w:eastAsia="ar-SA"/>
              </w:rPr>
            </w:pPr>
            <w:r>
              <w:rPr>
                <w:i/>
                <w:kern w:val="0"/>
                <w:sz w:val="22"/>
                <w:szCs w:val="22"/>
                <w:lang w:eastAsia="lv-LV"/>
              </w:rPr>
              <w:t>Pretendents iesniedz apliecinājumu, ka tā piesaistītie ārvalstu speciālisti ir tiesīgi sniegt konkrētos pakalpojumus, kā arī gadījumā, ja ar pretendentu tiks noslēgts iepirkuma līgums, tas ne vēlāk kā piecu darbdienu laikā no iepirkuma līguma noslēgšanas normatīvajos aktos noteiktajā kārtībā iesniegs atzīšanas institūcijai deklarāciju par īslaicīgu profesionālo pakalpojumu sniegšanu Latvijas Republikā reglamentētā profesijā. Minētā kārtība par īslaicīgo pakalpojumu sniegšanu attiecas uz personām, kuru mītnes valsts ir Eiropas Savienības dalībvalsts vai Eiropas Brīvās tirdzniecības asociācijas dalībvalsts un kuru sniegto pakalpojumu izcelsmes valsts ir Eiropas Savienības dalībvalsts vai Eiropas Brīvās tirdzniecības asociācijas dalībvalsts (proti, Islande, Lihtenšteina, Norvēģija un Šveice). Personām no citām valstīm ir jāveic pilnā kvalifikācijas atzīšana, piemērojot vispārējo profesionālās kvalifikācijas atzīšanas sistēmu (arī gadījumos, ja šīs personas Latvijā profesionālos pakalpojumus sniegs īslaicīgi)</w:t>
            </w:r>
            <w:r>
              <w:rPr>
                <w:rFonts w:eastAsia="Calibri"/>
                <w:bCs/>
                <w:i/>
                <w:kern w:val="0"/>
                <w:sz w:val="22"/>
                <w:szCs w:val="22"/>
                <w:lang w:eastAsia="ar-SA"/>
              </w:rPr>
              <w:t>.</w:t>
            </w:r>
          </w:p>
        </w:tc>
      </w:tr>
      <w:tr>
        <w:trPr/>
        <w:tc>
          <w:tcPr>
            <w:tcW w:w="42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34" w:right="0" w:hanging="0"/>
              <w:jc w:val="both"/>
              <w:rPr>
                <w:rFonts w:eastAsia="Calibri"/>
                <w:bCs/>
                <w:sz w:val="22"/>
                <w:szCs w:val="22"/>
                <w:lang w:eastAsia="ar-SA"/>
              </w:rPr>
            </w:pPr>
            <w:r>
              <w:rPr>
                <w:rFonts w:eastAsia="Calibri"/>
                <w:bCs/>
                <w:kern w:val="0"/>
                <w:sz w:val="22"/>
                <w:szCs w:val="22"/>
                <w:lang w:eastAsia="ar-SA"/>
              </w:rPr>
              <w:t xml:space="preserve">5.3.1.3.Pretendents spēj nodrošināt normatīvajos aktos noteiktā kārtībā izveidotu </w:t>
            </w:r>
            <w:r>
              <w:rPr>
                <w:rFonts w:eastAsia="Calibri"/>
                <w:b/>
                <w:kern w:val="0"/>
                <w:sz w:val="22"/>
                <w:szCs w:val="22"/>
                <w:lang w:eastAsia="ar-SA"/>
              </w:rPr>
              <w:t>darba aizsardzības sistēmu un atbildīgā darba aizsardzības koordinatora</w:t>
            </w:r>
            <w:r>
              <w:rPr>
                <w:rFonts w:eastAsia="Calibri"/>
                <w:bCs/>
                <w:kern w:val="0"/>
                <w:sz w:val="22"/>
                <w:szCs w:val="22"/>
                <w:lang w:eastAsia="ar-SA"/>
              </w:rPr>
              <w:t xml:space="preserve"> piesaisti.</w:t>
            </w:r>
          </w:p>
        </w:tc>
        <w:tc>
          <w:tcPr>
            <w:tcW w:w="59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3" w:right="0" w:hanging="0"/>
              <w:jc w:val="both"/>
              <w:rPr>
                <w:rFonts w:eastAsia="Calibri"/>
                <w:bCs/>
                <w:sz w:val="22"/>
                <w:szCs w:val="22"/>
                <w:lang w:eastAsia="ar-SA"/>
              </w:rPr>
            </w:pPr>
            <w:r>
              <w:rPr>
                <w:rFonts w:eastAsia="Calibri"/>
                <w:bCs/>
                <w:kern w:val="0"/>
                <w:sz w:val="22"/>
                <w:szCs w:val="22"/>
                <w:lang w:eastAsia="ar-SA"/>
              </w:rPr>
              <w:t xml:space="preserve">5.3.2.3.Pretendenta atbildīgās personas, kura līguma izpildes laikā veiks darba aizsardzības koordinatora funkcijas saskaņā ar MK 25.02.2003 noteikumu Nr.92 „Darba aizsardzības prasības, veicot būvdarbus” un citu normatīvo aktu noteikumiem, kvalifikāciju apliecinošu dokumentu kopijas (fiziskām personām) un šādi dokumenti </w:t>
            </w:r>
            <w:r>
              <w:rPr>
                <w:rFonts w:eastAsia="Calibri"/>
                <w:bCs/>
                <w:kern w:val="0"/>
                <w:sz w:val="22"/>
                <w:szCs w:val="22"/>
                <w:u w:val="single"/>
                <w:lang w:eastAsia="ar-SA"/>
              </w:rPr>
              <w:t>juridiskām personām</w:t>
            </w:r>
            <w:r>
              <w:rPr>
                <w:rFonts w:eastAsia="Calibri"/>
                <w:bCs/>
                <w:kern w:val="0"/>
                <w:sz w:val="22"/>
                <w:szCs w:val="22"/>
                <w:lang w:eastAsia="ar-SA"/>
              </w:rPr>
              <w:t xml:space="preserve">: </w:t>
            </w:r>
          </w:p>
          <w:p>
            <w:pPr>
              <w:pStyle w:val="ListParagraph"/>
              <w:widowControl w:val="false"/>
              <w:suppressAutoHyphens w:val="true"/>
              <w:spacing w:before="0" w:after="0"/>
              <w:ind w:left="35" w:right="0" w:hanging="35"/>
              <w:jc w:val="both"/>
              <w:rPr>
                <w:rFonts w:ascii="Times New Roman" w:hAnsi="Times New Roman"/>
                <w:bCs/>
                <w:lang w:eastAsia="ar-SA"/>
              </w:rPr>
            </w:pPr>
            <w:r>
              <w:rPr>
                <w:rFonts w:ascii="Times New Roman" w:hAnsi="Times New Roman"/>
                <w:bCs/>
                <w:kern w:val="0"/>
                <w:lang w:eastAsia="ar-SA"/>
              </w:rPr>
              <w:t xml:space="preserve">a) spēkā esoši dokumenti, kas apliecina juridiskās personas gatavību veikt darba aizsardzības koordinatora funkcijas konkrētajā objektā (sadarbības līguma kopija vai piekrišanas raksta oriģināls); </w:t>
            </w:r>
          </w:p>
          <w:p>
            <w:pPr>
              <w:pStyle w:val="ListParagraph"/>
              <w:widowControl w:val="false"/>
              <w:suppressAutoHyphens w:val="true"/>
              <w:spacing w:before="0" w:after="0"/>
              <w:ind w:left="35" w:right="0" w:hanging="35"/>
              <w:jc w:val="both"/>
              <w:rPr>
                <w:rFonts w:ascii="Times New Roman" w:hAnsi="Times New Roman"/>
                <w:bCs/>
                <w:lang w:eastAsia="ar-SA"/>
              </w:rPr>
            </w:pPr>
            <w:r>
              <w:rPr>
                <w:rFonts w:ascii="Times New Roman" w:hAnsi="Times New Roman"/>
                <w:bCs/>
                <w:kern w:val="0"/>
                <w:lang w:eastAsia="ar-SA"/>
              </w:rPr>
              <w:t>b) kvalitātes sistēmas sertifikāta apliecināta kopija saskaņā ar MK 08.09.2008 noteikumiem Nr.723 „Noteikumi par prasībām kompetentām institūcijām un kompetentiem speciālistiem darba aizsardzības jautājumos un kompetences novērtēšanas kārtību”;</w:t>
            </w:r>
          </w:p>
          <w:p>
            <w:pPr>
              <w:pStyle w:val="ListParagraph"/>
              <w:widowControl w:val="false"/>
              <w:suppressAutoHyphens w:val="true"/>
              <w:spacing w:before="0" w:after="0"/>
              <w:ind w:left="35" w:right="0" w:hanging="35"/>
              <w:jc w:val="both"/>
              <w:rPr>
                <w:rFonts w:ascii="Times New Roman" w:hAnsi="Times New Roman"/>
                <w:bCs/>
                <w:lang w:eastAsia="ar-SA"/>
              </w:rPr>
            </w:pPr>
            <w:r>
              <w:rPr>
                <w:rFonts w:ascii="Times New Roman" w:hAnsi="Times New Roman"/>
                <w:bCs/>
                <w:kern w:val="0"/>
                <w:lang w:eastAsia="ar-SA"/>
              </w:rPr>
              <w:t>c) iesaistīto speciālistu saraksts un viņu kvalifikāciju apliecinošu dokumentu kopijas.</w:t>
            </w:r>
          </w:p>
          <w:p>
            <w:pPr>
              <w:pStyle w:val="ListParagraph"/>
              <w:widowControl w:val="false"/>
              <w:suppressAutoHyphens w:val="true"/>
              <w:spacing w:before="0" w:after="0"/>
              <w:ind w:left="35" w:right="0" w:hanging="35"/>
              <w:jc w:val="both"/>
              <w:rPr>
                <w:rFonts w:ascii="Times New Roman" w:hAnsi="Times New Roman"/>
                <w:bCs/>
                <w:lang w:eastAsia="ar-SA"/>
              </w:rPr>
            </w:pPr>
            <w:r>
              <w:rPr>
                <w:rFonts w:ascii="Times New Roman" w:hAnsi="Times New Roman"/>
                <w:bCs/>
                <w:lang w:eastAsia="ar-SA"/>
              </w:rPr>
            </w:r>
          </w:p>
          <w:p>
            <w:pPr>
              <w:pStyle w:val="ListParagraph"/>
              <w:widowControl w:val="false"/>
              <w:suppressAutoHyphens w:val="true"/>
              <w:spacing w:before="0" w:after="0"/>
              <w:ind w:left="35" w:right="0" w:hanging="35"/>
              <w:jc w:val="both"/>
              <w:rPr>
                <w:rFonts w:ascii="Times New Roman" w:hAnsi="Times New Roman"/>
                <w:bCs/>
                <w:i/>
                <w:i/>
                <w:lang w:eastAsia="ar-SA"/>
              </w:rPr>
            </w:pPr>
            <w:r>
              <w:rPr>
                <w:rFonts w:ascii="Times New Roman" w:hAnsi="Times New Roman"/>
                <w:bCs/>
                <w:kern w:val="0"/>
                <w:lang w:eastAsia="ar-SA"/>
              </w:rPr>
              <w:tab/>
            </w:r>
            <w:r>
              <w:rPr>
                <w:rFonts w:ascii="Times New Roman" w:hAnsi="Times New Roman"/>
                <w:bCs/>
                <w:i/>
                <w:kern w:val="0"/>
                <w:lang w:eastAsia="ar-SA"/>
              </w:rPr>
              <w:t>Ja darba aizsardzības koordinatora funkcijas izpildīs ārvalsts fiziska vai juridiska persona, jāiesniedz ārvalstī izsniegtā licence, sertifikāts vai citi kvalifikāciju apliecinoši dokumenti (kopijas), kas apliecina darba aizsardzības koordinatora sniegšanas tiesības (ja šādu dokumentu nepieciešamību nosaka attiecīgās ārvalsts normatīvie tiesību akti) un ārvalsts darba aizsardzības koordinatora funkcijas izpildītājam uz iepirkuma līguma noslēgšanas brīdi jāatbilst izglītības un profesionālās kvalifikācijas prasībām attiecīgas profesionālās darbības veikšanai Latvijas Republikā.</w:t>
            </w:r>
          </w:p>
        </w:tc>
      </w:tr>
      <w:tr>
        <w:trPr/>
        <w:tc>
          <w:tcPr>
            <w:tcW w:w="42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34" w:right="0" w:hanging="0"/>
              <w:jc w:val="both"/>
              <w:rPr>
                <w:sz w:val="22"/>
                <w:szCs w:val="22"/>
                <w:highlight w:val="yellow"/>
              </w:rPr>
            </w:pPr>
            <w:r>
              <w:rPr>
                <w:rFonts w:eastAsia="Calibri"/>
                <w:bCs/>
                <w:kern w:val="0"/>
                <w:sz w:val="22"/>
                <w:szCs w:val="22"/>
                <w:lang w:eastAsia="ar-SA"/>
              </w:rPr>
              <w:t xml:space="preserve">5.3.1.4. Pretendents savā piedāvājumā norāda visus tos apakšuzņēmējus (t.sk. apakšuzņēmēja apakšuzņēmējus), kuru sniedzamo pakalpojumu vai veicamo būvdarbu vērtība ir vismaz </w:t>
            </w:r>
            <w:r>
              <w:rPr>
                <w:rFonts w:eastAsia="Calibri"/>
                <w:b/>
                <w:kern w:val="0"/>
                <w:sz w:val="22"/>
                <w:szCs w:val="22"/>
                <w:lang w:eastAsia="ar-SA"/>
              </w:rPr>
              <w:t>10 (desmit) procenti no kopējās iepirkuma līguma vērtības vai lielāka</w:t>
            </w:r>
            <w:r>
              <w:rPr>
                <w:rFonts w:eastAsia="Calibri"/>
                <w:bCs/>
                <w:kern w:val="0"/>
                <w:sz w:val="22"/>
                <w:szCs w:val="22"/>
                <w:lang w:eastAsia="ar-SA"/>
              </w:rPr>
              <w:t xml:space="preserve">, un katram šādam apakšuzņēmējam izpildei nododamo iepirkuma līguma daļu, t.sk., arī tos apakšuzņēmējus, kuru veicamo darbu vērtība </w:t>
            </w:r>
            <w:r>
              <w:rPr>
                <w:rFonts w:eastAsia="Calibri"/>
                <w:b/>
                <w:kern w:val="0"/>
                <w:sz w:val="22"/>
                <w:szCs w:val="22"/>
                <w:lang w:eastAsia="ar-SA"/>
              </w:rPr>
              <w:t>ir zem 10% no kopējās iepirkuma līguma vērtības.</w:t>
            </w:r>
            <w:r>
              <w:rPr>
                <w:rFonts w:eastAsia="Calibri"/>
                <w:bCs/>
                <w:kern w:val="0"/>
                <w:sz w:val="22"/>
                <w:szCs w:val="22"/>
                <w:lang w:eastAsia="ar-SA"/>
              </w:rPr>
              <w:t xml:space="preserve"> </w:t>
            </w:r>
          </w:p>
        </w:tc>
        <w:tc>
          <w:tcPr>
            <w:tcW w:w="5939"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true"/>
              <w:spacing w:before="0" w:after="0"/>
              <w:ind w:left="35" w:right="0" w:hanging="0"/>
              <w:jc w:val="both"/>
              <w:rPr>
                <w:rFonts w:ascii="Times New Roman" w:hAnsi="Times New Roman"/>
                <w:bCs/>
                <w:lang w:eastAsia="ar-SA"/>
              </w:rPr>
            </w:pPr>
            <w:r>
              <w:rPr>
                <w:rFonts w:ascii="Times New Roman" w:hAnsi="Times New Roman"/>
                <w:bCs/>
                <w:kern w:val="0"/>
                <w:lang w:eastAsia="ar-SA"/>
              </w:rPr>
              <w:t>5.3.2.4. Ja Pretendents piesaista apakšuzņēmējus (jāaizpilda 6.pielikums), tad jāiesniedz Pretendenta apliecinājums par to, kuru no līguma daļām pretendents plāno nodot apakšuzņēmējiem, norādot apakšuzņēmējus un tiem nododamo būvdarbu vai pakalpojumu apjomu, tajā skaitā, % no kopējā darbu apjoma, kā arī norādīto Apakšuzņēmēju rakstisku apliecinājumu par gatavību piedalīties iepirkuma līguma izpildē.</w:t>
            </w:r>
          </w:p>
        </w:tc>
      </w:tr>
      <w:tr>
        <w:trPr/>
        <w:tc>
          <w:tcPr>
            <w:tcW w:w="428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ind w:left="34" w:right="0" w:hanging="0"/>
              <w:jc w:val="both"/>
              <w:rPr>
                <w:rFonts w:eastAsia="Calibri"/>
                <w:bCs/>
                <w:sz w:val="22"/>
                <w:szCs w:val="22"/>
                <w:lang w:eastAsia="ar-SA"/>
              </w:rPr>
            </w:pPr>
            <w:r>
              <w:rPr>
                <w:rFonts w:eastAsia="Calibri"/>
                <w:bCs/>
                <w:kern w:val="0"/>
                <w:sz w:val="22"/>
                <w:szCs w:val="22"/>
                <w:lang w:eastAsia="ar-SA"/>
              </w:rPr>
              <w:t>5.3.1.5. Pretendentam savā piedāvājumā ir jānorāda</w:t>
            </w:r>
            <w:r>
              <w:rPr>
                <w:kern w:val="0"/>
              </w:rPr>
              <w:t xml:space="preserve"> </w:t>
            </w:r>
            <w:r>
              <w:rPr>
                <w:rFonts w:eastAsia="Calibri"/>
                <w:bCs/>
                <w:kern w:val="0"/>
                <w:sz w:val="22"/>
                <w:szCs w:val="22"/>
                <w:lang w:eastAsia="ar-SA"/>
              </w:rPr>
              <w:t xml:space="preserve">apliecinājumu par to, ka finanšu piedāvājumā ir ietvertas </w:t>
            </w:r>
            <w:r>
              <w:rPr>
                <w:rFonts w:eastAsia="Calibri"/>
                <w:b/>
                <w:kern w:val="0"/>
                <w:sz w:val="22"/>
                <w:szCs w:val="22"/>
                <w:lang w:eastAsia="ar-SA"/>
              </w:rPr>
              <w:t>jumta drošības pagaidu nožogojuma ierīkošana atbilstoši ES standartam EN 13374</w:t>
            </w:r>
            <w:r>
              <w:rPr>
                <w:rFonts w:eastAsia="Calibri"/>
                <w:bCs/>
                <w:kern w:val="0"/>
                <w:sz w:val="22"/>
                <w:szCs w:val="22"/>
                <w:lang w:eastAsia="ar-SA"/>
              </w:rPr>
              <w:t xml:space="preserve"> vai, ka  tā rīcībā ir vismaz </w:t>
            </w:r>
            <w:r>
              <w:rPr>
                <w:rFonts w:eastAsia="Calibri"/>
                <w:b/>
                <w:kern w:val="0"/>
                <w:sz w:val="22"/>
                <w:szCs w:val="22"/>
                <w:lang w:eastAsia="ar-SA"/>
              </w:rPr>
              <w:t>2 (divi) sertificēti industriālie alpīnisti.</w:t>
            </w:r>
          </w:p>
        </w:tc>
        <w:tc>
          <w:tcPr>
            <w:tcW w:w="5939"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uppressAutoHyphens w:val="true"/>
              <w:spacing w:before="0" w:after="0"/>
              <w:ind w:left="35" w:right="0" w:hanging="0"/>
              <w:jc w:val="both"/>
              <w:rPr>
                <w:rFonts w:ascii="Times New Roman" w:hAnsi="Times New Roman"/>
                <w:bCs/>
                <w:lang w:eastAsia="ar-SA"/>
              </w:rPr>
            </w:pPr>
            <w:r>
              <w:rPr>
                <w:rFonts w:ascii="Times New Roman" w:hAnsi="Times New Roman"/>
                <w:bCs/>
                <w:kern w:val="0"/>
                <w:lang w:eastAsia="ar-SA"/>
              </w:rPr>
              <w:t xml:space="preserve">5.3.2.5. </w:t>
            </w:r>
            <w:r>
              <w:rPr>
                <w:rFonts w:ascii="Times New Roman" w:hAnsi="Times New Roman"/>
                <w:kern w:val="0"/>
              </w:rPr>
              <w:t>Ja pretendents piesaista industriālos alpīnistus, tad industriāliem alpīnistiem ir jābūt sertificētiem un praktiski apmācītiem, kā arī jāiesniedz katra parakstīts apliecinājums par gatavību piedalīties līguma izpildē.</w:t>
            </w:r>
          </w:p>
        </w:tc>
      </w:tr>
    </w:tbl>
    <w:p>
      <w:pPr>
        <w:pStyle w:val="Style11"/>
        <w:rPr>
          <w:sz w:val="22"/>
          <w:szCs w:val="22"/>
          <w:lang w:val="lv-LV"/>
        </w:rPr>
      </w:pPr>
      <w:r>
        <w:rPr>
          <w:sz w:val="22"/>
          <w:szCs w:val="22"/>
          <w:lang w:val="lv-LV"/>
        </w:rPr>
      </w:r>
    </w:p>
    <w:p>
      <w:pPr>
        <w:pStyle w:val="Virsraksts1"/>
        <w:keepLines/>
        <w:numPr>
          <w:ilvl w:val="0"/>
          <w:numId w:val="3"/>
        </w:numPr>
        <w:tabs>
          <w:tab w:val="clear" w:pos="567"/>
        </w:tabs>
        <w:ind w:left="420" w:right="0" w:hanging="420"/>
        <w:jc w:val="center"/>
        <w:rPr>
          <w:b w:val="false"/>
          <w:b w:val="false"/>
          <w:sz w:val="22"/>
          <w:szCs w:val="22"/>
        </w:rPr>
      </w:pPr>
      <w:r>
        <w:rPr>
          <w:sz w:val="22"/>
          <w:szCs w:val="22"/>
        </w:rPr>
        <w:t>Iesniedzamie dokumenti</w:t>
      </w:r>
    </w:p>
    <w:p>
      <w:pPr>
        <w:pStyle w:val="ListParagraph"/>
        <w:numPr>
          <w:ilvl w:val="1"/>
          <w:numId w:val="3"/>
        </w:numPr>
        <w:spacing w:before="0" w:after="0"/>
        <w:ind w:left="704" w:right="0" w:hanging="420"/>
        <w:contextualSpacing/>
        <w:jc w:val="both"/>
        <w:rPr>
          <w:rFonts w:ascii="Times New Roman" w:hAnsi="Times New Roman"/>
          <w:color w:val="000000"/>
        </w:rPr>
      </w:pPr>
      <w:r>
        <w:rPr>
          <w:rFonts w:ascii="Times New Roman" w:hAnsi="Times New Roman"/>
          <w:b/>
          <w:bCs/>
          <w:lang w:eastAsia="ar-SA"/>
        </w:rPr>
        <w:t xml:space="preserve">Pretendenta atlases dokumenti: </w:t>
      </w:r>
    </w:p>
    <w:p>
      <w:pPr>
        <w:pStyle w:val="ListParagraph"/>
        <w:numPr>
          <w:ilvl w:val="2"/>
          <w:numId w:val="3"/>
        </w:numPr>
        <w:spacing w:before="0" w:after="0"/>
        <w:ind w:left="1134" w:right="0" w:hanging="708"/>
        <w:contextualSpacing/>
        <w:jc w:val="both"/>
        <w:rPr>
          <w:rFonts w:ascii="Times New Roman" w:hAnsi="Times New Roman"/>
          <w:bCs/>
          <w:lang w:eastAsia="ar-SA"/>
        </w:rPr>
      </w:pPr>
      <w:r>
        <w:rPr>
          <w:rFonts w:ascii="Times New Roman" w:hAnsi="Times New Roman"/>
          <w:bCs/>
          <w:lang w:eastAsia="ar-SA"/>
        </w:rPr>
        <w:t>Pieteikums dalībai iepirkumā,</w:t>
      </w:r>
      <w:r>
        <w:rPr>
          <w:rFonts w:ascii="Times New Roman" w:hAnsi="Times New Roman"/>
          <w:color w:val="000000"/>
        </w:rPr>
        <w:t xml:space="preserve"> kas sagatavots atbilstoši 3.pielikumā norādītajai formai;</w:t>
      </w:r>
    </w:p>
    <w:p>
      <w:pPr>
        <w:pStyle w:val="ListParagraph"/>
        <w:numPr>
          <w:ilvl w:val="2"/>
          <w:numId w:val="3"/>
        </w:numPr>
        <w:spacing w:before="0" w:after="0"/>
        <w:ind w:left="1134" w:right="0" w:hanging="708"/>
        <w:contextualSpacing/>
        <w:jc w:val="both"/>
        <w:rPr>
          <w:rFonts w:ascii="Times New Roman" w:hAnsi="Times New Roman"/>
          <w:bCs/>
          <w:lang w:eastAsia="ar-SA"/>
        </w:rPr>
      </w:pPr>
      <w:r>
        <w:rPr>
          <w:rFonts w:ascii="Times New Roman" w:hAnsi="Times New Roman"/>
          <w:bCs/>
          <w:lang w:eastAsia="ar-SA"/>
        </w:rPr>
        <w:t>Nolikuma 5.1.2.1. – 5.1.2.2., 5.2.2.1. – 5.2.2.3., 5.3.2.1. – 5.3.2.5.apakšpunktos noteiktie dokumenti;</w:t>
      </w:r>
    </w:p>
    <w:p>
      <w:pPr>
        <w:pStyle w:val="ListParagraph"/>
        <w:numPr>
          <w:ilvl w:val="2"/>
          <w:numId w:val="3"/>
        </w:numPr>
        <w:spacing w:before="0" w:after="0"/>
        <w:ind w:left="1134" w:right="0" w:hanging="708"/>
        <w:contextualSpacing/>
        <w:jc w:val="both"/>
        <w:rPr>
          <w:rFonts w:ascii="Times New Roman" w:hAnsi="Times New Roman"/>
          <w:bCs/>
          <w:lang w:eastAsia="ar-SA"/>
        </w:rPr>
      </w:pPr>
      <w:r>
        <w:rPr>
          <w:rFonts w:ascii="Times New Roman" w:hAnsi="Times New Roman"/>
          <w:bCs/>
          <w:lang w:eastAsia="ar-SA"/>
        </w:rPr>
        <w:t xml:space="preserve">Ja piedāvājumu iesniedz piegādātāju apvienība – visu piegādātāju apvienības dalībnieku parakstīta </w:t>
      </w:r>
      <w:r>
        <w:rPr>
          <w:rFonts w:ascii="Times New Roman" w:hAnsi="Times New Roman"/>
          <w:b/>
          <w:bCs/>
          <w:lang w:eastAsia="ar-SA"/>
        </w:rPr>
        <w:t>vienošanās vai Sadarbības līgums</w:t>
      </w:r>
      <w:r>
        <w:rPr>
          <w:rFonts w:ascii="Times New Roman" w:hAnsi="Times New Roman"/>
          <w:bCs/>
          <w:lang w:eastAsia="ar-SA"/>
        </w:rPr>
        <w:t>, kurā noteikts, ka visi piegādātāju apvienības dalībnieki kopā un katrs atsevišķi ir solidāri atbildīgi par Iepirkuma līguma izpildi, nosaukts galvenais dalībnieks, kurš ir pilnvarots parakstīt piedāvājumu un citus dokumentus, rīkoties piegādātāju apvienības dalībnieku vārdā, parakstīt Iepirkuma līgumu, un norādīt kontu, uz kuru būs jāpārskaita visi ar līguma izpildi saistītie maksājumi. Vienošanās dokumentā jānorāda katra piegādātāju apvienības dalībnieka darbu veikšanas daļa procentos un īss darbu apraksts. Šī punkta prasība par solidāro atbildību piemērojama vienīgi attiecībā uz tām personām, uz kuru saimnieciskajām un finansiālajām iespējām piegādātājs balstās.</w:t>
      </w:r>
    </w:p>
    <w:p>
      <w:pPr>
        <w:pStyle w:val="ListParagraph"/>
        <w:numPr>
          <w:ilvl w:val="2"/>
          <w:numId w:val="3"/>
        </w:numPr>
        <w:spacing w:before="0" w:after="0"/>
        <w:ind w:left="1134" w:right="0" w:hanging="708"/>
        <w:contextualSpacing/>
        <w:jc w:val="both"/>
        <w:rPr>
          <w:rFonts w:ascii="Times New Roman" w:hAnsi="Times New Roman"/>
          <w:bCs/>
          <w:lang w:eastAsia="ar-SA"/>
        </w:rPr>
      </w:pPr>
      <w:r>
        <w:rPr>
          <w:rFonts w:ascii="Times New Roman" w:hAnsi="Times New Roman"/>
          <w:bCs/>
          <w:lang w:eastAsia="ar-SA"/>
        </w:rPr>
        <w:t>Juridiskas personas pilnvarai pievieno dokumentu, kas apliecina pilnvaru parakstījušās paraksttiesīgās amatpersonas tiesības pārstāvēt attiecīgo juridisko personu</w:t>
      </w:r>
    </w:p>
    <w:p>
      <w:pPr>
        <w:pStyle w:val="Normal"/>
        <w:jc w:val="both"/>
        <w:rPr>
          <w:rFonts w:eastAsia="Calibri"/>
          <w:bCs/>
          <w:sz w:val="22"/>
          <w:szCs w:val="22"/>
          <w:lang w:eastAsia="ar-SA"/>
        </w:rPr>
      </w:pPr>
      <w:r>
        <w:rPr>
          <w:rFonts w:eastAsia="Calibri"/>
          <w:bCs/>
          <w:sz w:val="22"/>
          <w:szCs w:val="22"/>
          <w:lang w:eastAsia="ar-SA"/>
        </w:rPr>
      </w:r>
    </w:p>
    <w:p>
      <w:pPr>
        <w:pStyle w:val="NoSpacing"/>
        <w:numPr>
          <w:ilvl w:val="1"/>
          <w:numId w:val="3"/>
        </w:numPr>
        <w:ind w:left="704" w:right="0" w:hanging="420"/>
        <w:jc w:val="both"/>
        <w:rPr>
          <w:b/>
          <w:b/>
          <w:sz w:val="22"/>
          <w:szCs w:val="22"/>
        </w:rPr>
      </w:pPr>
      <w:r>
        <w:rPr>
          <w:b/>
          <w:sz w:val="22"/>
          <w:szCs w:val="22"/>
        </w:rPr>
        <w:t>Pretendenta Tehniskais piedāvājums</w:t>
      </w:r>
      <w:r>
        <w:rPr>
          <w:rFonts w:eastAsia="Calibri"/>
          <w:b/>
          <w:sz w:val="22"/>
          <w:szCs w:val="22"/>
        </w:rPr>
        <w:t>.</w:t>
      </w:r>
    </w:p>
    <w:p>
      <w:pPr>
        <w:pStyle w:val="ListParagraph"/>
        <w:numPr>
          <w:ilvl w:val="2"/>
          <w:numId w:val="3"/>
        </w:numPr>
        <w:tabs>
          <w:tab w:val="clear" w:pos="851"/>
        </w:tabs>
        <w:spacing w:before="0" w:after="0"/>
        <w:ind w:left="1134" w:right="0" w:hanging="708"/>
        <w:contextualSpacing/>
        <w:jc w:val="both"/>
        <w:rPr>
          <w:rFonts w:ascii="Times New Roman" w:hAnsi="Times New Roman"/>
        </w:rPr>
      </w:pPr>
      <w:r>
        <w:rPr>
          <w:rFonts w:ascii="Times New Roman" w:hAnsi="Times New Roman"/>
        </w:rPr>
        <w:t>Pretendentiem Tehniskais piedāvājums jāsagatavo, ņemot vērā nolikuma 2.pielikumā pievienotajā Tehniskajā specifikācijā (Darbu apjomos) izvirzītās prasības;</w:t>
      </w:r>
    </w:p>
    <w:p>
      <w:pPr>
        <w:pStyle w:val="ListParagraph"/>
        <w:numPr>
          <w:ilvl w:val="2"/>
          <w:numId w:val="3"/>
        </w:numPr>
        <w:tabs>
          <w:tab w:val="clear" w:pos="851"/>
        </w:tabs>
        <w:spacing w:before="0" w:after="0"/>
        <w:ind w:left="1134" w:right="0" w:hanging="708"/>
        <w:contextualSpacing/>
        <w:jc w:val="both"/>
        <w:rPr>
          <w:rFonts w:ascii="Times New Roman" w:hAnsi="Times New Roman"/>
        </w:rPr>
      </w:pPr>
      <w:r>
        <w:rPr>
          <w:rFonts w:ascii="Times New Roman" w:hAnsi="Times New Roman"/>
        </w:rPr>
        <w:t xml:space="preserve">Tehnisko piedāvājumu Pretendents sagatavo kā savu piedāvājumu Būvprojekta un tajā minēto darbu izpildei. Pretendenta Tehniskajam piedāvājumam skaidri, viennozīmīgi un nepārprotami jāatspoguļo Būvprojekta un Tehniskās specifikācijas prasību izpilde. Tehniskajā piedāvājumā jāiekļauj </w:t>
      </w:r>
      <w:r>
        <w:rPr>
          <w:rFonts w:ascii="Times New Roman" w:hAnsi="Times New Roman"/>
          <w:u w:val="single"/>
        </w:rPr>
        <w:t>Pretendenta apliecinājums</w:t>
      </w:r>
      <w:r>
        <w:rPr>
          <w:rFonts w:ascii="Times New Roman" w:hAnsi="Times New Roman"/>
        </w:rPr>
        <w:t>, ka Tehniskais piedāvājums sagatavots atbilstoši šī nolikuma, Būvprojekta un Tehniskajā specifikācijā noteiktajām prasībām;</w:t>
      </w:r>
    </w:p>
    <w:p>
      <w:pPr>
        <w:pStyle w:val="ListParagraph"/>
        <w:numPr>
          <w:ilvl w:val="2"/>
          <w:numId w:val="3"/>
        </w:numPr>
        <w:tabs>
          <w:tab w:val="clear" w:pos="851"/>
        </w:tabs>
        <w:spacing w:before="0" w:after="0"/>
        <w:ind w:left="1134" w:right="0" w:hanging="708"/>
        <w:contextualSpacing/>
        <w:jc w:val="both"/>
        <w:rPr>
          <w:rFonts w:ascii="Times New Roman" w:hAnsi="Times New Roman"/>
        </w:rPr>
      </w:pPr>
      <w:r>
        <w:rPr>
          <w:rFonts w:ascii="Times New Roman" w:hAnsi="Times New Roman"/>
        </w:rPr>
        <w:t>Tehniskajā piedāvājumā ir jāiekļauj:</w:t>
      </w:r>
    </w:p>
    <w:p>
      <w:pPr>
        <w:pStyle w:val="ListParagraph"/>
        <w:widowControl w:val="false"/>
        <w:numPr>
          <w:ilvl w:val="3"/>
          <w:numId w:val="3"/>
        </w:numPr>
        <w:spacing w:before="0" w:after="0"/>
        <w:ind w:left="1985" w:right="0" w:hanging="851"/>
        <w:contextualSpacing/>
        <w:jc w:val="both"/>
        <w:rPr>
          <w:rFonts w:ascii="Times New Roman" w:hAnsi="Times New Roman"/>
        </w:rPr>
      </w:pPr>
      <w:r>
        <w:rPr>
          <w:rFonts w:ascii="Times New Roman" w:hAnsi="Times New Roman"/>
        </w:rPr>
        <w:t xml:space="preserve">izvērstu būvdarbu izpildes laika grafiku pa nedēļām, nosakot izpildāmo darbu un veicamo pasākumu sākumu, beigas, ilgumu, un finanšu plūsmas grafiku pa </w:t>
      </w:r>
      <w:r>
        <w:rPr>
          <w:rFonts w:ascii="Times New Roman" w:hAnsi="Times New Roman"/>
          <w:b/>
        </w:rPr>
        <w:t>mēnešiem</w:t>
      </w:r>
      <w:r>
        <w:rPr>
          <w:rFonts w:ascii="Times New Roman" w:hAnsi="Times New Roman"/>
        </w:rPr>
        <w:t>, norādot apgūstamo darbu veidus un finanses; Grafika sākuma punkts – līguma noslēgšanas brīdis;</w:t>
      </w:r>
    </w:p>
    <w:p>
      <w:pPr>
        <w:pStyle w:val="ListParagraph"/>
        <w:widowControl w:val="false"/>
        <w:numPr>
          <w:ilvl w:val="3"/>
          <w:numId w:val="3"/>
        </w:numPr>
        <w:spacing w:before="0" w:after="0"/>
        <w:ind w:left="1985" w:right="0" w:hanging="851"/>
        <w:contextualSpacing/>
        <w:jc w:val="both"/>
        <w:rPr>
          <w:rFonts w:ascii="Times New Roman" w:hAnsi="Times New Roman"/>
        </w:rPr>
      </w:pPr>
      <w:r>
        <w:rPr>
          <w:rFonts w:ascii="Times New Roman" w:hAnsi="Times New Roman"/>
        </w:rPr>
        <w:t xml:space="preserve">apliecinājumu par piedāvāto būvdarbu garantijas termiņu, kas nedrīkst būt mazāks par </w:t>
      </w:r>
      <w:r>
        <w:rPr>
          <w:rFonts w:ascii="Times New Roman" w:hAnsi="Times New Roman"/>
          <w:b/>
          <w:bCs/>
        </w:rPr>
        <w:t>3 gadi</w:t>
      </w:r>
      <w:r>
        <w:rPr>
          <w:rFonts w:ascii="Times New Roman" w:hAnsi="Times New Roman"/>
          <w:b/>
        </w:rPr>
        <w:t>em.</w:t>
      </w:r>
    </w:p>
    <w:p>
      <w:pPr>
        <w:pStyle w:val="ListParagraph"/>
        <w:widowControl w:val="false"/>
        <w:numPr>
          <w:ilvl w:val="3"/>
          <w:numId w:val="3"/>
        </w:numPr>
        <w:spacing w:before="0" w:after="0"/>
        <w:ind w:left="1985" w:right="0" w:hanging="851"/>
        <w:contextualSpacing/>
        <w:jc w:val="both"/>
        <w:rPr>
          <w:rFonts w:ascii="Times New Roman" w:hAnsi="Times New Roman"/>
        </w:rPr>
      </w:pPr>
      <w:r>
        <w:rPr>
          <w:rFonts w:ascii="Times New Roman" w:hAnsi="Times New Roman"/>
        </w:rPr>
        <w:t xml:space="preserve">Apliecinājums, nodomu protokols vai Līgums ar Atkritumu apsaimniekošanas organizāciju par būvniecības u.c. atkritumu pārvadāšanu, utilizāciju; </w:t>
      </w:r>
    </w:p>
    <w:p>
      <w:pPr>
        <w:pStyle w:val="ListParagraph"/>
        <w:widowControl w:val="false"/>
        <w:numPr>
          <w:ilvl w:val="3"/>
          <w:numId w:val="3"/>
        </w:numPr>
        <w:spacing w:before="0" w:after="0"/>
        <w:ind w:left="1985" w:right="0" w:hanging="851"/>
        <w:contextualSpacing/>
        <w:jc w:val="both"/>
        <w:rPr>
          <w:rFonts w:ascii="Times New Roman" w:hAnsi="Times New Roman"/>
        </w:rPr>
      </w:pPr>
      <w:r>
        <w:rPr>
          <w:rFonts w:ascii="Times New Roman" w:hAnsi="Times New Roman"/>
        </w:rPr>
        <w:t>Pretendenta apliecinājums, ka ir pilnībā iepazinies ar tehniskajā specifikācijā un Būvprojektā norādītajām izbūves prasībām un tās izprot;</w:t>
      </w:r>
    </w:p>
    <w:p>
      <w:pPr>
        <w:pStyle w:val="ListParagraph"/>
        <w:widowControl w:val="false"/>
        <w:numPr>
          <w:ilvl w:val="3"/>
          <w:numId w:val="3"/>
        </w:numPr>
        <w:spacing w:before="0" w:after="0"/>
        <w:ind w:left="1985" w:right="0" w:hanging="851"/>
        <w:contextualSpacing/>
        <w:jc w:val="both"/>
        <w:rPr>
          <w:rFonts w:ascii="Times New Roman" w:hAnsi="Times New Roman"/>
        </w:rPr>
      </w:pPr>
      <w:r>
        <w:rPr>
          <w:rFonts w:ascii="Times New Roman" w:hAnsi="Times New Roman"/>
        </w:rPr>
        <w:t>Jāiesniedz Pretendenta apliecinājums, ka minētā iepirkuma Līguma sekmīgai izpildei tam ir pieejami nepieciešamie cilvēkresursi.</w:t>
      </w:r>
    </w:p>
    <w:p>
      <w:pPr>
        <w:pStyle w:val="ListParagraph"/>
        <w:ind w:left="1134" w:right="0" w:hanging="0"/>
        <w:jc w:val="both"/>
        <w:rPr>
          <w:rFonts w:ascii="Times New Roman" w:hAnsi="Times New Roman"/>
        </w:rPr>
      </w:pPr>
      <w:r>
        <w:rPr>
          <w:rFonts w:ascii="Times New Roman" w:hAnsi="Times New Roman"/>
        </w:rPr>
      </w:r>
    </w:p>
    <w:p>
      <w:pPr>
        <w:pStyle w:val="Virsraksts2"/>
        <w:keepNext w:val="false"/>
        <w:widowControl w:val="false"/>
        <w:numPr>
          <w:ilvl w:val="1"/>
          <w:numId w:val="3"/>
        </w:numPr>
        <w:ind w:left="704" w:right="-284" w:hanging="420"/>
        <w:rPr>
          <w:sz w:val="22"/>
          <w:szCs w:val="22"/>
        </w:rPr>
      </w:pPr>
      <w:bookmarkStart w:id="123" w:name="_Toc455559646"/>
      <w:r>
        <w:rPr>
          <w:sz w:val="22"/>
          <w:szCs w:val="22"/>
        </w:rPr>
        <w:t>Prasības Finanšu piedāvājumam</w:t>
      </w:r>
      <w:bookmarkEnd w:id="123"/>
      <w:r>
        <w:rPr>
          <w:sz w:val="22"/>
          <w:szCs w:val="22"/>
        </w:rPr>
        <w:t>.</w:t>
      </w:r>
    </w:p>
    <w:p>
      <w:pPr>
        <w:pStyle w:val="Pamatteksts"/>
        <w:numPr>
          <w:ilvl w:val="2"/>
          <w:numId w:val="3"/>
        </w:numPr>
        <w:tabs>
          <w:tab w:val="clear" w:pos="851"/>
        </w:tabs>
        <w:ind w:left="1287" w:right="-1" w:hanging="861"/>
        <w:rPr>
          <w:sz w:val="22"/>
          <w:szCs w:val="22"/>
        </w:rPr>
      </w:pPr>
      <w:r>
        <w:rPr>
          <w:sz w:val="22"/>
          <w:szCs w:val="22"/>
        </w:rPr>
        <w:t xml:space="preserve">Finanšu piedāvājumu sagatavo, ņemot vērā Būvprojektā noteikto veicamo būvdarbu apjomu, būvdarbiem izvirzītās prasības un Tehnisko specifikāciju (Darbu apjomus). Ja kādā no pozīcijām cenas nav norādītas, uzskatāms, ka Pretendents nav iesniedzis cenas par visu iepirkuma apjomu, kas ir pamats atzīt Pretendenta Finanšu piedāvājumu par neatbilstošu nolikumam, līdz ar to Pretendents izslēdzams no turpmākas dalības iepirkumā. </w:t>
      </w:r>
    </w:p>
    <w:p>
      <w:pPr>
        <w:pStyle w:val="Pamatteksts"/>
        <w:widowControl w:val="false"/>
        <w:numPr>
          <w:ilvl w:val="2"/>
          <w:numId w:val="3"/>
        </w:numPr>
        <w:tabs>
          <w:tab w:val="clear" w:pos="851"/>
        </w:tabs>
        <w:ind w:left="1287" w:right="0" w:hanging="861"/>
        <w:rPr>
          <w:sz w:val="22"/>
          <w:szCs w:val="22"/>
        </w:rPr>
      </w:pPr>
      <w:r>
        <w:rPr>
          <w:sz w:val="22"/>
          <w:szCs w:val="22"/>
        </w:rPr>
        <w:t xml:space="preserve">Pretendentam Finanšu piedāvājums jāsagatavo atbilstoši Ministru kabineta 03.05.2017. noteikumiem Nr. 239 „Noteikumi par Latvijas būvnormatīvu LBN 501-17 "Būvizmaksu noteikšanas kārtība", iesniedzot aizpildītu tāmju komplektu atbilstoši minētā LBN 5., 6., un 7.pielikumam. Aizpildītajās tāmēs, darbu veikšanas sarakstā, jābūt ietvertām aprēķina formulām (ar izmantotu “ROUND” funkciju ar precizitāti 2 (divas) zīmes aiz komata, elektroniskajā datu nesējā saglabājot visas formulas un funkcijas, kas izmantotas aprēķinos). Datnes nedrīkst būt aizsargātas ar paroli. </w:t>
      </w:r>
    </w:p>
    <w:p>
      <w:pPr>
        <w:pStyle w:val="Pamatteksts"/>
        <w:widowControl w:val="false"/>
        <w:numPr>
          <w:ilvl w:val="2"/>
          <w:numId w:val="3"/>
        </w:numPr>
        <w:tabs>
          <w:tab w:val="clear" w:pos="851"/>
        </w:tabs>
        <w:ind w:left="1287" w:right="0" w:hanging="861"/>
        <w:rPr>
          <w:sz w:val="22"/>
          <w:szCs w:val="22"/>
        </w:rPr>
      </w:pPr>
      <w:r>
        <w:rPr>
          <w:sz w:val="22"/>
          <w:szCs w:val="22"/>
        </w:rPr>
        <w:t>Līguma cena jānorāda euro, un līguma cenā ir jāiekļauj visas nodevas, nodokļi, izņemot Pievienotās vērtības nodokli, un obligātie maksājumi, jābūt iekļautām visām izmaksām, kas saistītas ar uzdoto darbu veikšanu, Iepirkuma līguma ietvaros, kā arī jāietver pilnas, Iepirkuma līguma ietvaros, uzdoto darbu izmaksas ar visiem riskiem, tai skaitā iespējamo sadārdzinājumu.</w:t>
      </w:r>
    </w:p>
    <w:p>
      <w:pPr>
        <w:pStyle w:val="Pamatteksts"/>
        <w:widowControl w:val="false"/>
        <w:numPr>
          <w:ilvl w:val="2"/>
          <w:numId w:val="3"/>
        </w:numPr>
        <w:tabs>
          <w:tab w:val="clear" w:pos="851"/>
        </w:tabs>
        <w:ind w:left="1287" w:right="0" w:hanging="861"/>
        <w:rPr>
          <w:sz w:val="22"/>
          <w:szCs w:val="22"/>
        </w:rPr>
      </w:pPr>
      <w:r>
        <w:rPr>
          <w:sz w:val="22"/>
          <w:szCs w:val="22"/>
        </w:rPr>
        <w:t>Pretendenta piedāvātajām vienību cenām jābūt nemainīgām visā iepirkuma līguma izpildes laikā.</w:t>
      </w:r>
    </w:p>
    <w:p>
      <w:pPr>
        <w:pStyle w:val="Pamatteksts"/>
        <w:widowControl w:val="false"/>
        <w:numPr>
          <w:ilvl w:val="2"/>
          <w:numId w:val="3"/>
        </w:numPr>
        <w:tabs>
          <w:tab w:val="clear" w:pos="851"/>
        </w:tabs>
        <w:ind w:left="1287" w:right="0" w:hanging="861"/>
        <w:rPr>
          <w:sz w:val="22"/>
          <w:szCs w:val="22"/>
        </w:rPr>
      </w:pPr>
      <w:r>
        <w:rPr>
          <w:sz w:val="22"/>
          <w:szCs w:val="22"/>
        </w:rPr>
        <w:t>Līguma izpildes laikā netiek pieļauta līgumcenas maiņa, pamatojoties uz izmaksu pieaugumu.</w:t>
      </w:r>
    </w:p>
    <w:p>
      <w:pPr>
        <w:pStyle w:val="Pamatteksts"/>
        <w:numPr>
          <w:ilvl w:val="2"/>
          <w:numId w:val="3"/>
        </w:numPr>
        <w:tabs>
          <w:tab w:val="clear" w:pos="851"/>
        </w:tabs>
        <w:ind w:left="1287" w:right="0" w:hanging="861"/>
        <w:rPr>
          <w:color w:val="000000"/>
          <w:sz w:val="22"/>
          <w:szCs w:val="22"/>
        </w:rPr>
      </w:pPr>
      <w:r>
        <w:rPr>
          <w:sz w:val="22"/>
          <w:szCs w:val="22"/>
        </w:rPr>
        <w:t>Finanšu piedāvājums kalpos par pamatu piedāvājuma cenas noteikšanai un kā izmaksu tāme līguma summas noteikšanai.</w:t>
      </w:r>
    </w:p>
    <w:p>
      <w:pPr>
        <w:pStyle w:val="Pamatteksts"/>
        <w:numPr>
          <w:ilvl w:val="2"/>
          <w:numId w:val="3"/>
        </w:numPr>
        <w:tabs>
          <w:tab w:val="clear" w:pos="851"/>
        </w:tabs>
        <w:ind w:left="1287" w:right="0" w:hanging="861"/>
        <w:rPr>
          <w:color w:val="000000"/>
          <w:sz w:val="22"/>
          <w:szCs w:val="22"/>
        </w:rPr>
      </w:pPr>
      <w:r>
        <w:rPr>
          <w:sz w:val="22"/>
          <w:szCs w:val="22"/>
        </w:rPr>
        <w:t>Finanšu piedāvājumam jābūt parakstītam, to paraksta Pretendenta attiecīgi pilnvarots pārstāvis (pārstāvības tiesības reģistrētas publiskos reģistros vai izsniegta attiecīga pilnvara).</w:t>
      </w:r>
    </w:p>
    <w:p>
      <w:pPr>
        <w:pStyle w:val="Style11"/>
        <w:rPr>
          <w:sz w:val="22"/>
          <w:szCs w:val="22"/>
          <w:lang w:val="lv-LV"/>
        </w:rPr>
      </w:pPr>
      <w:r>
        <w:rPr>
          <w:sz w:val="22"/>
          <w:szCs w:val="22"/>
          <w:lang w:val="lv-LV"/>
        </w:rPr>
      </w:r>
    </w:p>
    <w:p>
      <w:pPr>
        <w:pStyle w:val="ListParagraph"/>
        <w:numPr>
          <w:ilvl w:val="0"/>
          <w:numId w:val="3"/>
        </w:numPr>
        <w:suppressAutoHyphens w:val="true"/>
        <w:spacing w:before="0" w:after="0"/>
        <w:ind w:left="420" w:right="0" w:hanging="420"/>
        <w:contextualSpacing/>
        <w:jc w:val="center"/>
        <w:outlineLvl w:val="0"/>
        <w:rPr>
          <w:rFonts w:ascii="Times New Roman" w:hAnsi="Times New Roman"/>
          <w:b/>
          <w:b/>
          <w:bCs/>
          <w:lang w:eastAsia="ar-SA"/>
        </w:rPr>
      </w:pPr>
      <w:bookmarkStart w:id="124" w:name="_Toc455559659"/>
      <w:r>
        <w:rPr>
          <w:rFonts w:ascii="Times New Roman" w:hAnsi="Times New Roman"/>
          <w:b/>
          <w:bCs/>
          <w:lang w:eastAsia="ar-SA"/>
        </w:rPr>
        <w:t>Līgumsaistību izpildes nodrošinājums</w:t>
      </w:r>
      <w:bookmarkEnd w:id="124"/>
    </w:p>
    <w:p>
      <w:pPr>
        <w:pStyle w:val="ListParagraph"/>
        <w:numPr>
          <w:ilvl w:val="1"/>
          <w:numId w:val="3"/>
        </w:numPr>
        <w:tabs>
          <w:tab w:val="clear" w:pos="851"/>
        </w:tabs>
        <w:suppressAutoHyphens w:val="true"/>
        <w:spacing w:before="0" w:after="0"/>
        <w:ind w:left="704" w:right="0" w:hanging="420"/>
        <w:contextualSpacing/>
        <w:jc w:val="both"/>
        <w:rPr>
          <w:rFonts w:ascii="Times New Roman" w:hAnsi="Times New Roman"/>
          <w:bCs/>
          <w:lang w:eastAsia="ar-SA"/>
        </w:rPr>
      </w:pPr>
      <w:r>
        <w:rPr>
          <w:rFonts w:ascii="Times New Roman" w:hAnsi="Times New Roman"/>
          <w:bCs/>
          <w:lang w:eastAsia="ar-SA"/>
        </w:rPr>
        <w:t xml:space="preserve">Attiecībā uz Pretendentu, kuram tiks piešķirtas Iepirkuma līguma slēgšanas tiesības, Pasūtītājs nosaka prasību nodrošināt - 5 (piecu) darba dienu laikā pēc iepirkuma līguma noslēgšanas, un pirms Darbu uzsākšanas iesniegt Pasūtītājam </w:t>
      </w:r>
      <w:r>
        <w:rPr>
          <w:rFonts w:ascii="Times New Roman" w:hAnsi="Times New Roman"/>
          <w:b/>
          <w:bCs/>
          <w:lang w:eastAsia="ar-SA"/>
        </w:rPr>
        <w:t>līgumsaistību izpildes nodrošinājumu 10 %</w:t>
      </w:r>
      <w:r>
        <w:rPr>
          <w:rFonts w:ascii="Times New Roman" w:hAnsi="Times New Roman"/>
          <w:bCs/>
          <w:lang w:eastAsia="ar-SA"/>
        </w:rPr>
        <w:t xml:space="preserve"> </w:t>
      </w:r>
      <w:r>
        <w:rPr>
          <w:rFonts w:ascii="Times New Roman" w:hAnsi="Times New Roman"/>
          <w:b/>
          <w:bCs/>
          <w:lang w:eastAsia="ar-SA"/>
        </w:rPr>
        <w:t>(desmit procenti)</w:t>
      </w:r>
      <w:r>
        <w:rPr>
          <w:rFonts w:ascii="Times New Roman" w:hAnsi="Times New Roman"/>
          <w:bCs/>
          <w:lang w:eastAsia="ar-SA"/>
        </w:rPr>
        <w:t xml:space="preserve"> apmērā no piedāvātās līgumcenas (bez PVN), un 10 (desmit) darba dienu laikā no Ēkas nodošanas ekspluatācijā akta parakstīšanas dienas iesniegt </w:t>
      </w:r>
      <w:r>
        <w:rPr>
          <w:rFonts w:ascii="Times New Roman" w:hAnsi="Times New Roman"/>
          <w:b/>
          <w:bCs/>
          <w:lang w:eastAsia="ar-SA"/>
        </w:rPr>
        <w:t>būvdarbu garantijas laika nodrošinājumu 5 % (pieci procenti)</w:t>
      </w:r>
      <w:r>
        <w:rPr>
          <w:rFonts w:ascii="Times New Roman" w:hAnsi="Times New Roman"/>
          <w:bCs/>
          <w:lang w:eastAsia="ar-SA"/>
        </w:rPr>
        <w:t xml:space="preserve"> apmērā no līgumcenas (bez PVN), kuras ir spēkā iepirkuma līgumā noteiktajos termiņos (Līguma projekts – 10.2. un 10.5. punkti).</w:t>
      </w:r>
    </w:p>
    <w:p>
      <w:pPr>
        <w:pStyle w:val="ListParagraph"/>
        <w:numPr>
          <w:ilvl w:val="1"/>
          <w:numId w:val="3"/>
        </w:numPr>
        <w:suppressAutoHyphens w:val="true"/>
        <w:spacing w:before="0" w:after="0"/>
        <w:ind w:left="704" w:right="0" w:hanging="420"/>
        <w:contextualSpacing/>
        <w:jc w:val="both"/>
        <w:rPr>
          <w:rFonts w:ascii="Times New Roman" w:hAnsi="Times New Roman"/>
          <w:bCs/>
          <w:lang w:eastAsia="ar-SA"/>
        </w:rPr>
      </w:pPr>
      <w:r>
        <w:rPr>
          <w:rFonts w:ascii="Times New Roman" w:hAnsi="Times New Roman"/>
          <w:bCs/>
          <w:lang w:eastAsia="ar-SA"/>
        </w:rPr>
        <w:t>Līgumsaistību izpildes nodrošinājums un darbu garantijas laika nodrošinājums var būt bankas vai apdrošināšanas sabiedrības izsniegta garantija.</w:t>
      </w:r>
    </w:p>
    <w:p>
      <w:pPr>
        <w:pStyle w:val="ListParagraph"/>
        <w:numPr>
          <w:ilvl w:val="1"/>
          <w:numId w:val="3"/>
        </w:numPr>
        <w:suppressAutoHyphens w:val="true"/>
        <w:spacing w:before="0" w:after="0"/>
        <w:ind w:left="704" w:right="0" w:hanging="420"/>
        <w:contextualSpacing/>
        <w:jc w:val="both"/>
        <w:rPr>
          <w:rFonts w:ascii="Times New Roman" w:hAnsi="Times New Roman"/>
          <w:bCs/>
          <w:lang w:eastAsia="ar-SA"/>
        </w:rPr>
      </w:pPr>
      <w:r>
        <w:rPr>
          <w:rFonts w:ascii="Times New Roman" w:hAnsi="Times New Roman"/>
          <w:bCs/>
          <w:lang w:eastAsia="ar-SA"/>
        </w:rPr>
        <w:t xml:space="preserve">Līgumsaistību izpildes nodrošinājumam un garantijas laika nodrošinājumam jāatbilst Nolikuma 7.pielikuma nosacījumiem. </w:t>
      </w:r>
    </w:p>
    <w:p>
      <w:pPr>
        <w:pStyle w:val="Normal"/>
        <w:widowControl w:val="false"/>
        <w:shd w:val="clear" w:color="auto" w:fill="FFFFFF"/>
        <w:tabs>
          <w:tab w:val="clear" w:pos="851"/>
          <w:tab w:val="left" w:pos="-3402" w:leader="none"/>
        </w:tabs>
        <w:jc w:val="both"/>
        <w:rPr>
          <w:sz w:val="22"/>
          <w:szCs w:val="22"/>
        </w:rPr>
      </w:pPr>
      <w:r>
        <w:rPr>
          <w:sz w:val="22"/>
          <w:szCs w:val="22"/>
        </w:rPr>
      </w:r>
    </w:p>
    <w:p>
      <w:pPr>
        <w:pStyle w:val="NoSpacing"/>
        <w:numPr>
          <w:ilvl w:val="0"/>
          <w:numId w:val="3"/>
        </w:numPr>
        <w:ind w:left="420" w:right="0" w:hanging="420"/>
        <w:jc w:val="center"/>
        <w:rPr>
          <w:b/>
          <w:b/>
          <w:sz w:val="22"/>
          <w:szCs w:val="22"/>
        </w:rPr>
      </w:pPr>
      <w:r>
        <w:rPr>
          <w:b/>
          <w:sz w:val="22"/>
          <w:szCs w:val="22"/>
        </w:rPr>
        <w:t>Piedāvājumu vērtēšana un izvēle</w:t>
      </w:r>
    </w:p>
    <w:p>
      <w:pPr>
        <w:pStyle w:val="ListParagraph"/>
        <w:numPr>
          <w:ilvl w:val="1"/>
          <w:numId w:val="3"/>
        </w:numPr>
        <w:suppressAutoHyphens w:val="true"/>
        <w:spacing w:before="60" w:after="0"/>
        <w:ind w:left="704" w:right="0" w:hanging="420"/>
        <w:contextualSpacing/>
        <w:jc w:val="both"/>
        <w:rPr>
          <w:rFonts w:ascii="Times New Roman" w:hAnsi="Times New Roman"/>
          <w:b/>
          <w:b/>
          <w:bCs/>
          <w:u w:val="single"/>
          <w:lang w:eastAsia="ar-SA"/>
        </w:rPr>
      </w:pPr>
      <w:r>
        <w:rPr>
          <w:rFonts w:ascii="Times New Roman" w:hAnsi="Times New Roman"/>
        </w:rPr>
        <w:t>Pasūtītājs piedāvājumus izvērtē slēgtā sēdē. Pasūtītājs pārbauda piedāvājumu atbilstību un pretendentu atbilstību kvalifikācijas prasībām un izvēlas piedāvājumu saskaņā ar noteikto piedāvājuma izvērtēšanas kritēriju (cenu).</w:t>
      </w:r>
    </w:p>
    <w:p>
      <w:pPr>
        <w:pStyle w:val="ListParagraph"/>
        <w:numPr>
          <w:ilvl w:val="1"/>
          <w:numId w:val="3"/>
        </w:numPr>
        <w:suppressAutoHyphens w:val="true"/>
        <w:spacing w:before="60" w:after="0"/>
        <w:ind w:left="704" w:right="0" w:hanging="420"/>
        <w:contextualSpacing/>
        <w:jc w:val="both"/>
        <w:rPr>
          <w:rFonts w:ascii="Times New Roman" w:hAnsi="Times New Roman"/>
          <w:b/>
          <w:b/>
          <w:bCs/>
          <w:lang w:eastAsia="ar-SA"/>
        </w:rPr>
      </w:pPr>
      <w:r>
        <w:rPr>
          <w:rFonts w:ascii="Times New Roman" w:hAnsi="Times New Roman"/>
          <w:b/>
          <w:bCs/>
          <w:lang w:eastAsia="ar-SA"/>
        </w:rPr>
        <w:t>Piedāvājumu noformējuma pārbaude:</w:t>
      </w:r>
    </w:p>
    <w:p>
      <w:pPr>
        <w:pStyle w:val="ListParagraph"/>
        <w:numPr>
          <w:ilvl w:val="2"/>
          <w:numId w:val="3"/>
        </w:numPr>
        <w:spacing w:before="0" w:after="0"/>
        <w:ind w:left="1287" w:right="0" w:hanging="720"/>
        <w:contextualSpacing/>
        <w:jc w:val="both"/>
        <w:rPr>
          <w:rFonts w:ascii="Times New Roman" w:hAnsi="Times New Roman"/>
        </w:rPr>
      </w:pPr>
      <w:r>
        <w:rPr>
          <w:rFonts w:ascii="Times New Roman" w:hAnsi="Times New Roman"/>
        </w:rPr>
        <w:t xml:space="preserve">Pasūtītājs veic piedāvājumu noformējuma pārbaudi slēgtā sēdē, kuras laikā Iepirkuma Pasūtītājs pārbauda piedāvājumu atbilstību Nolikuma noteiktajām noformējuma prasībām. </w:t>
      </w:r>
    </w:p>
    <w:p>
      <w:pPr>
        <w:pStyle w:val="ListParagraph"/>
        <w:numPr>
          <w:ilvl w:val="2"/>
          <w:numId w:val="3"/>
        </w:numPr>
        <w:suppressAutoHyphens w:val="true"/>
        <w:spacing w:before="60" w:after="0"/>
        <w:ind w:left="1287" w:right="0" w:hanging="720"/>
        <w:jc w:val="both"/>
        <w:rPr>
          <w:rFonts w:ascii="Times New Roman" w:hAnsi="Times New Roman"/>
          <w:bCs/>
          <w:lang w:eastAsia="ar-SA"/>
        </w:rPr>
      </w:pPr>
      <w:r>
        <w:rPr>
          <w:rFonts w:ascii="Times New Roman" w:hAnsi="Times New Roman"/>
          <w:bCs/>
          <w:lang w:eastAsia="ar-SA"/>
        </w:rPr>
        <w:t>Konstatējot atkāpes no nolikumā izvirzītajām piedāvājuma noformējuma prasībām, Pasūtītājs izvērtē to būtiskumu un ietekmi uz turpmāko piedāvājumu vērtēšanas procesu un ir tiesīgs lemt par turpmāku piedāvājuma vērtēšanu. Būtiska piedāvājuma noformējuma neatbilstība nolikuma prasībām ir pamats Pretendenta izslēgšanai no turpmākās dalības Iepirkumā un Pretendenta piedāvājuma neizskatīšanai.</w:t>
      </w:r>
    </w:p>
    <w:p>
      <w:pPr>
        <w:pStyle w:val="Normal"/>
        <w:numPr>
          <w:ilvl w:val="1"/>
          <w:numId w:val="3"/>
        </w:numPr>
        <w:ind w:left="704" w:right="0" w:hanging="420"/>
        <w:jc w:val="both"/>
        <w:rPr>
          <w:b/>
          <w:b/>
          <w:sz w:val="22"/>
          <w:szCs w:val="22"/>
        </w:rPr>
      </w:pPr>
      <w:r>
        <w:rPr>
          <w:b/>
          <w:sz w:val="22"/>
          <w:szCs w:val="22"/>
        </w:rPr>
        <w:t>Pretendentu kvalifikācijas pārbaude:</w:t>
      </w:r>
    </w:p>
    <w:p>
      <w:pPr>
        <w:pStyle w:val="Normal"/>
        <w:numPr>
          <w:ilvl w:val="2"/>
          <w:numId w:val="3"/>
        </w:numPr>
        <w:ind w:left="1287" w:right="0" w:hanging="720"/>
        <w:jc w:val="both"/>
        <w:rPr>
          <w:sz w:val="22"/>
          <w:szCs w:val="22"/>
        </w:rPr>
      </w:pPr>
      <w:r>
        <w:rPr>
          <w:sz w:val="22"/>
          <w:szCs w:val="22"/>
        </w:rPr>
        <w:t>Pēc noformējuma pārbaudes Pasūtītājs pārbauda Pretendenta atbilstību Nolikumā noteiktajām kvalifikācijas prasībām</w:t>
      </w:r>
    </w:p>
    <w:p>
      <w:pPr>
        <w:pStyle w:val="Normal"/>
        <w:numPr>
          <w:ilvl w:val="2"/>
          <w:numId w:val="3"/>
        </w:numPr>
        <w:ind w:left="1287" w:right="0" w:hanging="720"/>
        <w:jc w:val="both"/>
        <w:rPr>
          <w:sz w:val="22"/>
          <w:szCs w:val="22"/>
        </w:rPr>
      </w:pPr>
      <w:r>
        <w:rPr>
          <w:sz w:val="22"/>
          <w:szCs w:val="22"/>
        </w:rPr>
        <w:t>Pasūtītājs izskata katra Pretendenta piedāvājuma atbilstību kvalifikācijas prasībām un pieņem lēmumu par tālāku piedāvājuma izskatīšanu.</w:t>
      </w:r>
    </w:p>
    <w:p>
      <w:pPr>
        <w:pStyle w:val="Normal"/>
        <w:numPr>
          <w:ilvl w:val="2"/>
          <w:numId w:val="3"/>
        </w:numPr>
        <w:ind w:left="1287" w:right="0" w:hanging="720"/>
        <w:jc w:val="both"/>
        <w:rPr>
          <w:sz w:val="22"/>
          <w:szCs w:val="22"/>
        </w:rPr>
      </w:pPr>
      <w:r>
        <w:rPr>
          <w:sz w:val="22"/>
          <w:szCs w:val="22"/>
        </w:rPr>
        <w:t>Pretendents tiek izslēgts no dalības iepirkumā un netiek izvērtēts, ja Pasūtītājs konstatē, ka kāds no iesniedzamajiem dokumentiem nav pilnībā aizpildīts, vispār nav iesniegts vai ir spēkā neesošs.</w:t>
      </w:r>
    </w:p>
    <w:p>
      <w:pPr>
        <w:pStyle w:val="Normal"/>
        <w:numPr>
          <w:ilvl w:val="2"/>
          <w:numId w:val="3"/>
        </w:numPr>
        <w:ind w:left="1287" w:right="0" w:hanging="720"/>
        <w:jc w:val="both"/>
        <w:rPr>
          <w:sz w:val="22"/>
          <w:szCs w:val="22"/>
        </w:rPr>
      </w:pPr>
      <w:bookmarkStart w:id="125" w:name="_Toc455559650"/>
      <w:bookmarkStart w:id="126" w:name="_Toc454201057"/>
      <w:bookmarkStart w:id="127" w:name="_Toc454880646"/>
      <w:r>
        <w:rPr>
          <w:sz w:val="22"/>
          <w:szCs w:val="22"/>
        </w:rPr>
        <w:t xml:space="preserve">Pretendenta piedāvājums, kurš ir atbilstošs visām Nolikumā noteiktajām kvalifikācijas prasībām, tiek virzīts Finanšu piedāvājuma atbilstības pārbaudei. </w:t>
      </w:r>
      <w:bookmarkEnd w:id="125"/>
      <w:bookmarkEnd w:id="126"/>
      <w:bookmarkEnd w:id="127"/>
    </w:p>
    <w:p>
      <w:pPr>
        <w:pStyle w:val="Virsraksts1"/>
        <w:numPr>
          <w:ilvl w:val="1"/>
          <w:numId w:val="3"/>
        </w:numPr>
        <w:tabs>
          <w:tab w:val="clear" w:pos="567"/>
          <w:tab w:val="center" w:pos="142" w:leader="none"/>
          <w:tab w:val="left" w:pos="900" w:leader="none"/>
        </w:tabs>
        <w:snapToGrid w:val="false"/>
        <w:ind w:left="704" w:right="0" w:hanging="420"/>
        <w:jc w:val="left"/>
        <w:rPr>
          <w:b w:val="false"/>
          <w:b w:val="false"/>
          <w:sz w:val="22"/>
          <w:szCs w:val="22"/>
        </w:rPr>
      </w:pPr>
      <w:bookmarkStart w:id="128" w:name="_Toc100657199"/>
      <w:r>
        <w:rPr>
          <w:sz w:val="22"/>
          <w:szCs w:val="22"/>
        </w:rPr>
        <w:t xml:space="preserve">Finanšu piedāvājuma </w:t>
      </w:r>
      <w:bookmarkEnd w:id="128"/>
      <w:r>
        <w:rPr>
          <w:sz w:val="22"/>
          <w:szCs w:val="22"/>
        </w:rPr>
        <w:t>atbilstības pārbaude:</w:t>
      </w:r>
    </w:p>
    <w:p>
      <w:pPr>
        <w:pStyle w:val="Normal"/>
        <w:numPr>
          <w:ilvl w:val="2"/>
          <w:numId w:val="3"/>
        </w:numPr>
        <w:ind w:left="1287" w:right="0" w:hanging="720"/>
        <w:jc w:val="both"/>
        <w:rPr>
          <w:sz w:val="22"/>
          <w:szCs w:val="22"/>
        </w:rPr>
      </w:pPr>
      <w:r>
        <w:rPr>
          <w:sz w:val="22"/>
          <w:szCs w:val="22"/>
        </w:rPr>
        <w:t xml:space="preserve">Pretendents tiek izslēgts no dalības iepirkumā un netiek tālāk izvērtēts, ja Pasūtītājs konstatē, ka nav pilnībā aizpildīta finanšu piedāvājuma forma, vai Finanšu piedāvājums vispār nav iesniegts. </w:t>
      </w:r>
    </w:p>
    <w:p>
      <w:pPr>
        <w:pStyle w:val="ListParagraph"/>
        <w:numPr>
          <w:ilvl w:val="2"/>
          <w:numId w:val="3"/>
        </w:numPr>
        <w:spacing w:before="0" w:after="0"/>
        <w:ind w:left="1287" w:right="0" w:hanging="720"/>
        <w:contextualSpacing/>
        <w:jc w:val="both"/>
        <w:outlineLvl w:val="1"/>
        <w:rPr>
          <w:rFonts w:ascii="Times New Roman" w:hAnsi="Times New Roman"/>
          <w:bCs/>
          <w:lang w:eastAsia="ar-SA"/>
        </w:rPr>
      </w:pPr>
      <w:bookmarkStart w:id="129" w:name="_Hlk78461829"/>
      <w:r>
        <w:rPr>
          <w:rFonts w:ascii="Times New Roman" w:hAnsi="Times New Roman"/>
        </w:rPr>
        <w:t xml:space="preserve">Pasūtītājs </w:t>
      </w:r>
      <w:bookmarkEnd w:id="129"/>
      <w:r>
        <w:rPr>
          <w:rFonts w:ascii="Times New Roman" w:hAnsi="Times New Roman"/>
        </w:rPr>
        <w:t xml:space="preserve">veic aritmētisko kļūdu pārbaudi Pretendentu finanšu piedāvājumos. </w:t>
      </w:r>
      <w:bookmarkStart w:id="130" w:name="_Toc454201058"/>
      <w:bookmarkStart w:id="131" w:name="_Toc454880647"/>
      <w:bookmarkStart w:id="132" w:name="_Toc455559651"/>
      <w:r>
        <w:rPr>
          <w:rFonts w:ascii="Times New Roman" w:hAnsi="Times New Roman"/>
        </w:rPr>
        <w:t>Ja Pasūtītājs konstatē šādas kļūdas, tas šīs kļūdas izlabo. Par kļūdu labojumu un laboto piedāvājuma summu Pasūtītājs paziņo pretendentam, kura pieļautās kļūdas labotas. Vērtējot finanšu piedāvājumu, Pasūtītājs ņem vērā labojumus.</w:t>
      </w:r>
      <w:bookmarkEnd w:id="130"/>
      <w:bookmarkEnd w:id="131"/>
      <w:bookmarkEnd w:id="132"/>
    </w:p>
    <w:p>
      <w:pPr>
        <w:pStyle w:val="ListParagraph"/>
        <w:numPr>
          <w:ilvl w:val="2"/>
          <w:numId w:val="3"/>
        </w:numPr>
        <w:spacing w:before="0" w:after="0"/>
        <w:ind w:left="1287" w:right="0" w:hanging="720"/>
        <w:contextualSpacing/>
        <w:jc w:val="both"/>
        <w:rPr>
          <w:rFonts w:ascii="Times New Roman" w:hAnsi="Times New Roman"/>
        </w:rPr>
      </w:pPr>
      <w:r>
        <w:rPr>
          <w:rFonts w:ascii="Times New Roman" w:hAnsi="Times New Roman"/>
        </w:rPr>
        <w:t>Ja Pasūtītājs konstatē, ka piedāvājumā ietvertā vai Pretendenta iesniegtā informācija vai dokuments ir neskaidrs vai nepilnīgs, tas pieprasa, lai Pretendents, vai kompetenta institūcija izskaidro vai papildina minēto informāciju vai dokumentu vai iesniedz trūkstošo dokumentu, nodrošinot vienlīdzīgu attieksmi pret visiem Pretendentiem.</w:t>
      </w:r>
    </w:p>
    <w:p>
      <w:pPr>
        <w:pStyle w:val="ListParagraph"/>
        <w:numPr>
          <w:ilvl w:val="2"/>
          <w:numId w:val="3"/>
        </w:numPr>
        <w:spacing w:before="0" w:after="0"/>
        <w:ind w:left="1287" w:right="0" w:hanging="720"/>
        <w:contextualSpacing/>
        <w:jc w:val="both"/>
        <w:rPr>
          <w:rFonts w:ascii="Times New Roman" w:hAnsi="Times New Roman"/>
        </w:rPr>
      </w:pPr>
      <w:r>
        <w:rPr>
          <w:rFonts w:ascii="Times New Roman" w:hAnsi="Times New Roman"/>
          <w:color w:val="000000" w:themeColor="text1"/>
          <w14:textFill>
            <w14:solidFill>
              <w14:schemeClr w14:val="tx1"/>
            </w14:solidFill>
          </w14:textFill>
        </w:rPr>
        <w:t>Piedāvājuma izvēle atbilstoši piedāvājumu vērtēšanas kritērijam – zemākajai cenai: sarindo piedāvājumus noteiktā secībā, atbilstoši piedāvātajai cenai.</w:t>
      </w:r>
    </w:p>
    <w:p>
      <w:pPr>
        <w:pStyle w:val="ListParagraph"/>
        <w:numPr>
          <w:ilvl w:val="2"/>
          <w:numId w:val="3"/>
        </w:numPr>
        <w:spacing w:before="0" w:after="0"/>
        <w:ind w:left="1287" w:right="0" w:hanging="720"/>
        <w:contextualSpacing/>
        <w:jc w:val="both"/>
        <w:rPr>
          <w:rFonts w:ascii="Times New Roman" w:hAnsi="Times New Roman"/>
        </w:rPr>
      </w:pPr>
      <w:r>
        <w:rPr>
          <w:rFonts w:ascii="Times New Roman" w:hAnsi="Times New Roman"/>
          <w:color w:val="000000" w:themeColor="text1"/>
          <w14:textFill>
            <w14:solidFill>
              <w14:schemeClr w14:val="tx1"/>
            </w14:solidFill>
          </w14:textFill>
        </w:rPr>
        <w:t xml:space="preserve">Pēc piedāvājumu sarindošanas atbilstoši zemākajai cenai, Pasūtītājs ir tiesīgs Pretendentiem lūgt iesniegt uzlabotus finanšu piedāvājumus, to attiecīgi dokumentējot iepirkuma </w:t>
      </w:r>
      <w:r>
        <w:rPr>
          <w:rFonts w:ascii="Times New Roman" w:hAnsi="Times New Roman"/>
        </w:rPr>
        <w:t>Pasūtītāja</w:t>
      </w:r>
      <w:r>
        <w:rPr>
          <w:rFonts w:ascii="Times New Roman" w:hAnsi="Times New Roman"/>
          <w:color w:val="000000" w:themeColor="text1"/>
          <w14:textFill>
            <w14:solidFill>
              <w14:schemeClr w14:val="tx1"/>
            </w14:solidFill>
          </w14:textFill>
        </w:rPr>
        <w:t xml:space="preserve"> sēžu protokolos. Uzlabotos finanšu piedāvājumus Pasūtītājs izvērtē un sarindo atbilstoši Nolikuma 8.4.3. un 8.4.4. punkta noteikumiem.</w:t>
      </w:r>
    </w:p>
    <w:p>
      <w:pPr>
        <w:pStyle w:val="Pamatteksts"/>
        <w:numPr>
          <w:ilvl w:val="1"/>
          <w:numId w:val="3"/>
        </w:numPr>
        <w:ind w:left="704" w:right="0" w:hanging="420"/>
        <w:rPr>
          <w:b/>
          <w:b/>
          <w:bCs/>
          <w:sz w:val="22"/>
          <w:szCs w:val="22"/>
        </w:rPr>
      </w:pPr>
      <w:r>
        <w:rPr>
          <w:b/>
          <w:bCs/>
          <w:sz w:val="22"/>
          <w:szCs w:val="22"/>
        </w:rPr>
        <w:t>Finanšu piedāvājumu uzlabošana:</w:t>
      </w:r>
    </w:p>
    <w:p>
      <w:pPr>
        <w:pStyle w:val="Pamatteksts"/>
        <w:numPr>
          <w:ilvl w:val="2"/>
          <w:numId w:val="3"/>
        </w:numPr>
        <w:ind w:left="1287" w:right="0" w:hanging="720"/>
        <w:rPr>
          <w:sz w:val="22"/>
          <w:szCs w:val="22"/>
        </w:rPr>
      </w:pPr>
      <w:r>
        <w:rPr>
          <w:sz w:val="22"/>
          <w:szCs w:val="22"/>
        </w:rPr>
        <w:t xml:space="preserve">Pretendentu atlases procesa laikā, Pasūtītājs ir tiesīgs vienu reizi visiem Pretendentiem, kuru piedāvājumi atbilst visām Nolikumā izvirzītajām prasībām, lūgt uzlabot savus finanšu piedāvājumus. </w:t>
      </w:r>
    </w:p>
    <w:p>
      <w:pPr>
        <w:pStyle w:val="Pamatteksts"/>
        <w:numPr>
          <w:ilvl w:val="2"/>
          <w:numId w:val="3"/>
        </w:numPr>
        <w:ind w:left="1287" w:right="0" w:hanging="720"/>
        <w:rPr>
          <w:color w:val="000000" w:themeColor="text1"/>
          <w:sz w:val="22"/>
          <w:szCs w:val="22"/>
          <w14:textFill>
            <w14:solidFill>
              <w14:schemeClr w14:val="tx1"/>
            </w14:solidFill>
          </w14:textFill>
        </w:rPr>
      </w:pPr>
      <w:r>
        <w:rPr>
          <w:sz w:val="22"/>
          <w:szCs w:val="22"/>
        </w:rPr>
        <w:t xml:space="preserve">Ja Pasūtītājs izmanto Nolikuma 8.5.1. punktā noteiktās tiesības, Pasūtītājs Pretendentiem </w:t>
      </w:r>
      <w:r>
        <w:rPr>
          <w:color w:val="000000" w:themeColor="text1"/>
          <w:sz w:val="22"/>
          <w:szCs w:val="22"/>
          <w14:textFill>
            <w14:solidFill>
              <w14:schemeClr w14:val="tx1"/>
            </w14:solidFill>
          </w14:textFill>
        </w:rPr>
        <w:t>nosūta uzaicinājumu iesniegt uzlabotus finanšu piedāvājumus, kā arī norāda uzlaboto finanšu piedāvājumu iesniegšanas vietu, laiku un termiņu, kas nevar būt īsāks par 7 (septiņu) darba dienām no uzaicinājumu nosūtīšanas dienas.</w:t>
      </w:r>
    </w:p>
    <w:p>
      <w:pPr>
        <w:pStyle w:val="Pamatteksts"/>
        <w:numPr>
          <w:ilvl w:val="2"/>
          <w:numId w:val="3"/>
        </w:numPr>
        <w:ind w:left="1287" w:right="0" w:hanging="720"/>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Ja Pasūtītājs ir lūdzis Pretendentiem iesniegt uzlabotus finanšu piedāvājumus, Pretendenti tos noformē un iesniedz atbilstoši nolikuma 3.2. un 3.3. punktā noteiktajām prasībām. Ja uzlabots finanšu piedāvājums tiek sūtīts pa pastu, Pretendents ir atbildīgs par to, lai Pasūtītājs to saņemtu uzaicinājumā norādītajā termiņā. Piedāvājumus, kas iesniegti (iesūtīti) pēc noteiktā termiņa, nepieņem un neatvērtus atdod vai nosūta atpakaļ tā iesniedzējam.</w:t>
      </w:r>
    </w:p>
    <w:p>
      <w:pPr>
        <w:pStyle w:val="Pamatteksts"/>
        <w:numPr>
          <w:ilvl w:val="2"/>
          <w:numId w:val="3"/>
        </w:numPr>
        <w:ind w:left="1287" w:right="0" w:hanging="720"/>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Iesniedzot uzlabotus finanšu piedāvājumus, Pretendentiem nav tiesības piedāvāt lielāku cenu, nekā tā ir piedāvāta sākotnēji, tai skaitā Pretendentam nav tiesības palielināt peļņu, virsizdevumus un atsevišķu būvdarbu cenu, kas palielina kopējo katrā lokālajā tāmē norādīto būvdarbu kopējo cenu. Šī nosacījuma neievērošanas gadījumā ir uzskatāms, ka Pretendents ir atsaucis savu piedāvājumu.</w:t>
      </w:r>
    </w:p>
    <w:p>
      <w:pPr>
        <w:pStyle w:val="Pamatteksts"/>
        <w:numPr>
          <w:ilvl w:val="2"/>
          <w:numId w:val="3"/>
        </w:numPr>
        <w:ind w:left="1287" w:right="0" w:hanging="720"/>
        <w:rPr>
          <w:color w:val="000000" w:themeColor="text1"/>
          <w:sz w:val="22"/>
          <w:szCs w:val="22"/>
          <w14:textFill>
            <w14:solidFill>
              <w14:schemeClr w14:val="tx1"/>
            </w14:solidFill>
          </w14:textFill>
        </w:rPr>
      </w:pPr>
      <w:r>
        <w:rPr>
          <w:color w:val="000000" w:themeColor="text1"/>
          <w:sz w:val="22"/>
          <w:szCs w:val="22"/>
          <w14:textFill>
            <w14:solidFill>
              <w14:schemeClr w14:val="tx1"/>
            </w14:solidFill>
          </w14:textFill>
        </w:rPr>
        <w:t xml:space="preserve">Uzlaboto finanšu piedāvājumu atvēršana notiek atvēršanas sanāksmē </w:t>
      </w:r>
      <w:r>
        <w:rPr>
          <w:color w:val="000000"/>
          <w:sz w:val="22"/>
          <w:szCs w:val="22"/>
        </w:rPr>
        <w:t>SIA ”LATGALES NAMU APSAIMNIEKOTĀJS”, Brīvības ielā 33 - 17A, Rēzeknē, LV-4601</w:t>
      </w:r>
      <w:r>
        <w:rPr>
          <w:color w:val="000000" w:themeColor="text1"/>
          <w:sz w:val="22"/>
          <w:szCs w:val="22"/>
          <w14:textFill>
            <w14:solidFill>
              <w14:schemeClr w14:val="tx1"/>
            </w14:solidFill>
          </w14:textFill>
        </w:rPr>
        <w:t>, tūlīt pēc uzlabotu finanšu piedāvājumu iesniegšanas termiņa beigām. Uzlabotu finanšu piedāvājumu atvēršana ir atklāta un tajā var piedalīties visi Pretendenti vai to pilnvarotie pārstāvji, kā arī citas personas.</w:t>
      </w:r>
    </w:p>
    <w:p>
      <w:pPr>
        <w:pStyle w:val="Normal"/>
        <w:numPr>
          <w:ilvl w:val="1"/>
          <w:numId w:val="3"/>
        </w:numPr>
        <w:tabs>
          <w:tab w:val="clear" w:pos="851"/>
          <w:tab w:val="left" w:pos="993" w:leader="none"/>
          <w:tab w:val="left" w:pos="1276" w:leader="none"/>
        </w:tabs>
        <w:suppressAutoHyphens w:val="true"/>
        <w:ind w:left="704" w:right="-63" w:hanging="420"/>
        <w:jc w:val="both"/>
        <w:rPr>
          <w:b/>
          <w:b/>
          <w:sz w:val="22"/>
          <w:szCs w:val="22"/>
        </w:rPr>
      </w:pPr>
      <w:bookmarkStart w:id="133" w:name="p-636608"/>
      <w:bookmarkStart w:id="134" w:name="p26"/>
      <w:bookmarkEnd w:id="133"/>
      <w:bookmarkEnd w:id="134"/>
      <w:r>
        <w:rPr>
          <w:b/>
          <w:bCs/>
          <w:sz w:val="22"/>
          <w:szCs w:val="22"/>
        </w:rPr>
        <w:t>Pasūtītājs izvēlas piedāvājumu, kas Pasūtītājam ir ekonomiski visizdevīgākais un vislabāk apmierina tā vajadzības, kā arī nodrošina Pasūtītāja piešķirtā finansējuma efektīvu izmantošanu</w:t>
      </w:r>
      <w:r>
        <w:rPr>
          <w:b/>
          <w:sz w:val="22"/>
          <w:szCs w:val="22"/>
        </w:rPr>
        <w:t>.</w:t>
      </w:r>
    </w:p>
    <w:p>
      <w:pPr>
        <w:pStyle w:val="Normal"/>
        <w:numPr>
          <w:ilvl w:val="1"/>
          <w:numId w:val="3"/>
        </w:numPr>
        <w:tabs>
          <w:tab w:val="clear" w:pos="851"/>
          <w:tab w:val="left" w:pos="993" w:leader="none"/>
          <w:tab w:val="left" w:pos="1276" w:leader="none"/>
        </w:tabs>
        <w:suppressAutoHyphens w:val="true"/>
        <w:ind w:left="704" w:right="-63" w:hanging="420"/>
        <w:jc w:val="both"/>
        <w:rPr>
          <w:b/>
          <w:b/>
          <w:sz w:val="22"/>
          <w:szCs w:val="22"/>
        </w:rPr>
      </w:pPr>
      <w:r>
        <w:rPr>
          <w:color w:val="000000" w:themeColor="text1"/>
          <w:sz w:val="22"/>
          <w:szCs w:val="22"/>
          <w14:textFill>
            <w14:solidFill>
              <w14:schemeClr w14:val="tx1"/>
            </w14:solidFill>
          </w14:textFill>
        </w:rPr>
        <w:t xml:space="preserve">Pirms lēmuma pieņemšanas piešķirt iepirkuma līguma slēgšanas tiesības, Pasūtītājs pārbauda vai attiecībā uz Pretendents, kurš kopvērtējumā ir ieguvis vislielāko punktu skaitu, </w:t>
      </w:r>
      <w:r>
        <w:rPr>
          <w:color w:val="000000" w:themeColor="text1"/>
          <w:sz w:val="22"/>
          <w:szCs w:val="22"/>
          <w:shd w:fill="FFFFFF" w:val="clear"/>
          <w14:textFill>
            <w14:solidFill>
              <w14:schemeClr w14:val="tx1"/>
            </w14:solidFill>
          </w14:textFill>
        </w:rPr>
        <w:t>tā valdes vai padomes locekli, pārstāvēttiesīgo personu vai prokūristu vai personu, kura ir pilnvarota pārstāvēt pretendentu darbībās, kas saistītas ar filiāli, vai personālsabiedrības biedru, ja Pretendents ir personālsabiedrība, ir noteiktas starptautiskās vai nacionālās sankcijas vai būtiskas finanšu un kapitāla tirgus intereses ietekmējošas Eiropas Savienības vai Ziemeļatlantijas līguma organizācijas dalībvalsts noteiktās sankcijas, kuras ietekmē līguma izpildi. Ja attiecībā uz minēto kandidātu vai Pretendentu ir noteiktas starptautiskās vai nacionālās sankcijas vai būtiskas finanšu un kapitāla tirgus intereses ietekmējošas Eiropas Savienības vai Ziemeļatlantijas līguma organizācijas dalībvalsts noteiktās sankcijas, kuras kavē līguma izpildi, tas ir izslēdzams no dalības atlases procedūrā.</w:t>
      </w:r>
    </w:p>
    <w:p>
      <w:pPr>
        <w:pStyle w:val="Normal"/>
        <w:numPr>
          <w:ilvl w:val="1"/>
          <w:numId w:val="3"/>
        </w:numPr>
        <w:tabs>
          <w:tab w:val="clear" w:pos="851"/>
          <w:tab w:val="left" w:pos="993" w:leader="none"/>
          <w:tab w:val="left" w:pos="1276" w:leader="none"/>
        </w:tabs>
        <w:suppressAutoHyphens w:val="true"/>
        <w:ind w:left="704" w:right="-63" w:hanging="420"/>
        <w:jc w:val="both"/>
        <w:rPr>
          <w:b/>
          <w:b/>
          <w:sz w:val="22"/>
          <w:szCs w:val="22"/>
        </w:rPr>
      </w:pPr>
      <w:r>
        <w:rPr>
          <w:color w:val="000000" w:themeColor="text1"/>
          <w:sz w:val="22"/>
          <w:szCs w:val="22"/>
          <w14:textFill>
            <w14:solidFill>
              <w14:schemeClr w14:val="tx1"/>
            </w14:solidFill>
          </w14:textFill>
        </w:rPr>
        <w:t xml:space="preserve">Nolikuma 8.7.punktā minēto pārbaudi veic arī attiecībā uz Pretendenta norādīto apakšuzņēmēju, kura veicamo būvdarbu vērtība ir vismaz 10 procenti no kopējās līguma vērtības, vai personu, uz kuras iespējām Pretendents balstās, lai apliecinātu, ka tā kvalifikācija atbilst atlases procedūras prasībām. Ja attiecībā uz minēto personu vai apakšuzņēmēju ir noteiktas starptautiskās vai nacionālās sankcijas vai būtiskas finanšu un kapitāla tirgus intereses ietekmējošas Eiropas Savienības vai Ziemeļatlantijas līguma organizācijas dalībvalsts noteiktās sankcijas, kuras kavē līguma izpildi, attiecīgais kandidāts vai pretendents ir izslēdzams no atlases procedūrā, ja šis Pretendents 10 darbdienu laikā pēc pieprasījuma izsniegšanas vai nosūtīšanas dienas nav veicis šādas </w:t>
      </w:r>
      <w:r>
        <w:rPr>
          <w:sz w:val="22"/>
          <w:szCs w:val="22"/>
        </w:rPr>
        <w:t>personas vai apakšuzņēmēja nomaiņu, iesniedzot Pasūtītājam visu informāciju, kādu saskaņā ar šī nolikuma prasībām bija iesniedzama par nomaināmo personu.</w:t>
      </w:r>
    </w:p>
    <w:p>
      <w:pPr>
        <w:pStyle w:val="Normal"/>
        <w:tabs>
          <w:tab w:val="clear" w:pos="851"/>
          <w:tab w:val="left" w:pos="993" w:leader="none"/>
          <w:tab w:val="left" w:pos="1276" w:leader="none"/>
        </w:tabs>
        <w:suppressAutoHyphens w:val="true"/>
        <w:ind w:left="851" w:right="-63" w:hanging="0"/>
        <w:jc w:val="both"/>
        <w:rPr>
          <w:rFonts w:eastAsia="Helvetica"/>
          <w:sz w:val="22"/>
          <w:szCs w:val="22"/>
        </w:rPr>
      </w:pPr>
      <w:r>
        <w:rPr>
          <w:rFonts w:eastAsia="Helvetica"/>
          <w:sz w:val="22"/>
          <w:szCs w:val="22"/>
        </w:rPr>
      </w:r>
    </w:p>
    <w:p>
      <w:pPr>
        <w:pStyle w:val="Virsraksts1"/>
        <w:keepNext w:val="false"/>
        <w:numPr>
          <w:ilvl w:val="0"/>
          <w:numId w:val="3"/>
        </w:numPr>
        <w:tabs>
          <w:tab w:val="clear" w:pos="567"/>
        </w:tabs>
        <w:ind w:left="420" w:right="0" w:hanging="420"/>
        <w:jc w:val="center"/>
        <w:rPr>
          <w:sz w:val="22"/>
          <w:szCs w:val="22"/>
        </w:rPr>
      </w:pPr>
      <w:bookmarkStart w:id="135" w:name="_Toc455559663"/>
      <w:r>
        <w:rPr>
          <w:sz w:val="22"/>
          <w:szCs w:val="22"/>
        </w:rPr>
        <w:t>Līguma slēgšana</w:t>
      </w:r>
      <w:bookmarkEnd w:id="135"/>
    </w:p>
    <w:p>
      <w:pPr>
        <w:pStyle w:val="Normal"/>
        <w:numPr>
          <w:ilvl w:val="1"/>
          <w:numId w:val="3"/>
        </w:numPr>
        <w:spacing w:before="60" w:after="0"/>
        <w:ind w:left="704" w:right="0" w:hanging="420"/>
        <w:jc w:val="both"/>
        <w:rPr>
          <w:sz w:val="22"/>
          <w:szCs w:val="22"/>
        </w:rPr>
      </w:pPr>
      <w:r>
        <w:rPr>
          <w:sz w:val="22"/>
          <w:szCs w:val="22"/>
        </w:rPr>
        <w:t xml:space="preserve">Pasūtītājs slēgs līgumu ar iepirkuma uzvarētāju, pamatojoties uz Pretendenta piedāvājumu, saskaņā ar Nolikuma noteikumiem un iepirkuma līguma projektu (8.pielikums). </w:t>
      </w:r>
      <w:r>
        <w:rPr>
          <w:b/>
          <w:bCs/>
          <w:sz w:val="22"/>
          <w:szCs w:val="22"/>
        </w:rPr>
        <w:t>Līgums tiks slēgts pēc iepirkuma uzvarētāja piedāvājuma apstiprinājuma, pamatojoties uz daudzdzīvokļu dzīvojamās mājas dzīvokļu īpašnieku kopības lēmumu.</w:t>
      </w:r>
      <w:r>
        <w:rPr>
          <w:sz w:val="22"/>
          <w:szCs w:val="22"/>
        </w:rPr>
        <w:t xml:space="preserve"> Ja daudzdzīvokļu dzīvojamās mājas dzīvokļu īpašnieku kopība neapstiprina iepirkuma uzvarētāja sniegto piedāvājumu, Pasūtītājs neslēdz līgumu un iepirkums tiek pārtraukts. Iepirkuma līguma pamatnosacījumi, slēdzot līgumu, netiks mainīti.</w:t>
      </w:r>
    </w:p>
    <w:p>
      <w:pPr>
        <w:pStyle w:val="ListParagraph"/>
        <w:numPr>
          <w:ilvl w:val="1"/>
          <w:numId w:val="3"/>
        </w:numPr>
        <w:tabs>
          <w:tab w:val="left" w:pos="567" w:leader="none"/>
          <w:tab w:val="left" w:pos="851" w:leader="none"/>
        </w:tabs>
        <w:spacing w:before="0" w:after="0"/>
        <w:ind w:left="704" w:right="0" w:hanging="420"/>
        <w:contextualSpacing/>
        <w:jc w:val="both"/>
        <w:rPr>
          <w:rFonts w:ascii="Times New Roman" w:hAnsi="Times New Roman"/>
        </w:rPr>
      </w:pPr>
      <w:r>
        <w:rPr>
          <w:rFonts w:ascii="Times New Roman" w:hAnsi="Times New Roman"/>
        </w:rPr>
        <w:t xml:space="preserve">Pretendentam, kuram ir piešķirtas Līguma slēgšanas tiesības, ar Pasūtītāju ir jāvienojas par konkrētu līguma slēgšanas dienu un parakstīšanas kārtību. Ja puses nevar par to vienoties, līguma slēgšanas dienu un parakstīšanas kārtību nosaka Pasūtītājs, nosūtot uzaicinājumu konkrētā termiņā ierasties uz līguma slēgšanu. </w:t>
      </w:r>
    </w:p>
    <w:p>
      <w:pPr>
        <w:pStyle w:val="Pamatteksts"/>
        <w:numPr>
          <w:ilvl w:val="1"/>
          <w:numId w:val="3"/>
        </w:numPr>
        <w:tabs>
          <w:tab w:val="left" w:pos="567" w:leader="none"/>
          <w:tab w:val="left" w:pos="851" w:leader="none"/>
          <w:tab w:val="left" w:pos="1561" w:leader="none"/>
        </w:tabs>
        <w:suppressAutoHyphens w:val="true"/>
        <w:ind w:left="704" w:right="0" w:hanging="420"/>
        <w:rPr>
          <w:sz w:val="22"/>
          <w:szCs w:val="22"/>
        </w:rPr>
      </w:pPr>
      <w:r>
        <w:rPr>
          <w:sz w:val="22"/>
          <w:szCs w:val="22"/>
        </w:rPr>
        <w:t>Ja izraudzītais pretendents atsakās slēgt Līgumu vai atbilstoši nolikuma 9.2. punktā paredzētajam, Pasūtītāja noteiktajā laikā nav noslēdzis Līgumu, Pasūtītājs ir tiesīgs pieņemt lēmumu Līguma slēgšanas tiesības piešķirt nākamajam pretendentam, kurš piedāvājis piedāvājumu ar izdevīgāko cenu, vai pārtraukt procedūru, neizvēloties nevienu piedāvājumu.</w:t>
      </w:r>
    </w:p>
    <w:p>
      <w:pPr>
        <w:pStyle w:val="Pamatteksts"/>
        <w:numPr>
          <w:ilvl w:val="1"/>
          <w:numId w:val="3"/>
        </w:numPr>
        <w:tabs>
          <w:tab w:val="left" w:pos="851" w:leader="none"/>
          <w:tab w:val="left" w:pos="1561" w:leader="none"/>
        </w:tabs>
        <w:suppressAutoHyphens w:val="true"/>
        <w:ind w:left="704" w:right="0" w:hanging="420"/>
        <w:rPr>
          <w:sz w:val="22"/>
          <w:szCs w:val="22"/>
        </w:rPr>
      </w:pPr>
      <w:r>
        <w:rPr>
          <w:sz w:val="22"/>
          <w:szCs w:val="22"/>
        </w:rPr>
        <w:t>Papildus 9.3. pantā noteiktajam, Pasūtītājs ir tiesīgs izvēlēties nākamo piedāvājumu ar zemāko cenu, ja pretendents nolikumā noteiktajā termiņā:</w:t>
      </w:r>
    </w:p>
    <w:p>
      <w:pPr>
        <w:pStyle w:val="Pamatteksts"/>
        <w:numPr>
          <w:ilvl w:val="2"/>
          <w:numId w:val="3"/>
        </w:numPr>
        <w:tabs>
          <w:tab w:val="left" w:pos="851" w:leader="none"/>
          <w:tab w:val="left" w:pos="1561" w:leader="none"/>
        </w:tabs>
        <w:suppressAutoHyphens w:val="true"/>
        <w:ind w:left="1287" w:right="0" w:hanging="720"/>
        <w:rPr>
          <w:sz w:val="22"/>
          <w:szCs w:val="22"/>
        </w:rPr>
      </w:pPr>
      <w:r>
        <w:rPr>
          <w:sz w:val="22"/>
          <w:szCs w:val="22"/>
        </w:rPr>
        <w:t xml:space="preserve">nav reģistrēts Latvijas Būvkomersantu reģistrā; </w:t>
      </w:r>
    </w:p>
    <w:p>
      <w:pPr>
        <w:pStyle w:val="Pamatteksts"/>
        <w:numPr>
          <w:ilvl w:val="2"/>
          <w:numId w:val="3"/>
        </w:numPr>
        <w:tabs>
          <w:tab w:val="left" w:pos="851" w:leader="none"/>
          <w:tab w:val="left" w:pos="1561" w:leader="none"/>
        </w:tabs>
        <w:suppressAutoHyphens w:val="true"/>
        <w:ind w:left="1287" w:right="0" w:hanging="720"/>
        <w:rPr>
          <w:sz w:val="22"/>
          <w:szCs w:val="22"/>
        </w:rPr>
      </w:pPr>
      <w:r>
        <w:rPr>
          <w:sz w:val="22"/>
          <w:szCs w:val="22"/>
        </w:rPr>
        <w:t>neiesniedz līguma saistību izpildes nodrošinājum.</w:t>
      </w:r>
    </w:p>
    <w:p>
      <w:pPr>
        <w:pStyle w:val="Normal"/>
        <w:numPr>
          <w:ilvl w:val="1"/>
          <w:numId w:val="3"/>
        </w:numPr>
        <w:spacing w:before="60" w:after="0"/>
        <w:ind w:left="704" w:right="0" w:hanging="420"/>
        <w:jc w:val="both"/>
        <w:rPr>
          <w:sz w:val="22"/>
          <w:szCs w:val="22"/>
        </w:rPr>
      </w:pPr>
      <w:r>
        <w:rPr>
          <w:sz w:val="22"/>
          <w:szCs w:val="22"/>
        </w:rPr>
        <w:t>Samaksa par šī Līguma priekšmetā paredzēto Darbu izpildi paredzēta šādā kārtībā:</w:t>
      </w:r>
    </w:p>
    <w:p>
      <w:pPr>
        <w:pStyle w:val="Pamatteksts"/>
        <w:numPr>
          <w:ilvl w:val="2"/>
          <w:numId w:val="3"/>
        </w:numPr>
        <w:spacing w:before="60" w:after="0"/>
        <w:ind w:left="1287" w:right="0" w:hanging="720"/>
        <w:rPr>
          <w:sz w:val="22"/>
          <w:szCs w:val="22"/>
        </w:rPr>
      </w:pPr>
      <w:r>
        <w:rPr>
          <w:b/>
          <w:sz w:val="22"/>
          <w:szCs w:val="22"/>
        </w:rPr>
        <w:t>ikmēneša maksājumi</w:t>
      </w:r>
      <w:r>
        <w:rPr>
          <w:sz w:val="22"/>
          <w:szCs w:val="22"/>
        </w:rPr>
        <w:t xml:space="preserve"> - vienu reizi mēnesī 15 (piecpadsmit) darba dienu laikā no Darbu pieņemšanas nodošanas akta par iepriekšējā kalendārajā mēnesī izpildītajiem darbiem spēkā stāšanās dienas un rēķina saņemšanas;</w:t>
      </w:r>
    </w:p>
    <w:p>
      <w:pPr>
        <w:pStyle w:val="ListParagraph"/>
        <w:numPr>
          <w:ilvl w:val="2"/>
          <w:numId w:val="3"/>
        </w:numPr>
        <w:suppressAutoHyphens w:val="true"/>
        <w:overflowPunct w:val="false"/>
        <w:spacing w:before="60" w:after="0"/>
        <w:ind w:left="1287" w:right="0" w:hanging="720"/>
        <w:contextualSpacing/>
        <w:jc w:val="both"/>
        <w:textAlignment w:val="baseline"/>
        <w:rPr>
          <w:rFonts w:ascii="Times New Roman" w:hAnsi="Times New Roman"/>
        </w:rPr>
      </w:pPr>
      <w:r>
        <w:rPr>
          <w:rFonts w:ascii="Times New Roman" w:hAnsi="Times New Roman"/>
          <w:b/>
        </w:rPr>
        <w:t>galīgais norēķins</w:t>
      </w:r>
      <w:r>
        <w:rPr>
          <w:rFonts w:ascii="Times New Roman" w:hAnsi="Times New Roman"/>
        </w:rPr>
        <w:t xml:space="preserve"> - Pasūtītājs veic 15 (piecpadsmit) darba  dienu laikā skaitot no dienas, kad Būvuzņēmējs ir izpildījis visus ar Līgumu nolīgtos Darbus saskaņā ar Līguma noteikumiem, Objekts nodots ekspluatācijā un Būvuzņēmējs ir izrakstījis galīgo rēķinu. Gadījumā, ja Būvuzņēmējs ir savlaicīgi izpildījis visus ar Līgumu nolīgtos Darbus saskaņā ar Līguma noteikumiem, taču Objekts nav nodots ekspluatācijā piecpadsmit mēnešu no iepirkuma līguma noslēgšanas un Objekta nodošanas Būvuzņēmējam no Būvuzņēmēja neatkarīgu iemeslu dēļ, galīgais norēķins tiek veikts 15 (piecpadsmit) darba  dienu laikā no piecpadsmit mēnešu termiņa notecējuma un Būvuzņēmēja galīgā rēķina saņemšanas.</w:t>
      </w:r>
    </w:p>
    <w:p>
      <w:pPr>
        <w:pStyle w:val="Normal"/>
        <w:spacing w:before="240" w:after="0"/>
        <w:jc w:val="both"/>
        <w:rPr>
          <w:rFonts w:eastAsia="Calibri"/>
          <w:b/>
          <w:b/>
          <w:bCs/>
          <w:sz w:val="22"/>
          <w:szCs w:val="22"/>
          <w:lang w:eastAsia="ar-SA"/>
        </w:rPr>
      </w:pPr>
      <w:r>
        <w:rPr>
          <w:rFonts w:eastAsia="Calibri"/>
          <w:b/>
          <w:bCs/>
          <w:sz w:val="22"/>
          <w:szCs w:val="22"/>
          <w:lang w:eastAsia="ar-SA"/>
        </w:rPr>
        <w:t>Pielikumi:</w:t>
      </w:r>
    </w:p>
    <w:tbl>
      <w:tblPr>
        <w:tblStyle w:val="40"/>
        <w:tblpPr w:bottomFromText="0" w:horzAnchor="text" w:leftFromText="180" w:rightFromText="180" w:tblpX="0" w:tblpY="1" w:topFromText="0" w:vertAnchor="text"/>
        <w:tblW w:w="8935" w:type="dxa"/>
        <w:jc w:val="left"/>
        <w:tblInd w:w="-5" w:type="dxa"/>
        <w:tblLayout w:type="fixed"/>
        <w:tblCellMar>
          <w:top w:w="0" w:type="dxa"/>
          <w:left w:w="108" w:type="dxa"/>
          <w:bottom w:w="0" w:type="dxa"/>
          <w:right w:w="108" w:type="dxa"/>
        </w:tblCellMar>
      </w:tblPr>
      <w:tblGrid>
        <w:gridCol w:w="1643"/>
        <w:gridCol w:w="7291"/>
      </w:tblGrid>
      <w:tr>
        <w:trPr/>
        <w:tc>
          <w:tcPr>
            <w:tcW w:w="1643" w:type="dxa"/>
            <w:tcBorders/>
          </w:tcPr>
          <w:p>
            <w:pPr>
              <w:pStyle w:val="Normal"/>
              <w:widowControl w:val="false"/>
              <w:suppressAutoHyphens w:val="true"/>
              <w:spacing w:before="0" w:after="0"/>
              <w:jc w:val="both"/>
              <w:rPr>
                <w:rFonts w:eastAsia="Calibri"/>
                <w:bCs/>
                <w:sz w:val="22"/>
                <w:szCs w:val="22"/>
                <w:lang w:eastAsia="ar-SA"/>
              </w:rPr>
            </w:pPr>
            <w:r>
              <w:rPr>
                <w:rFonts w:eastAsia="Calibri"/>
                <w:bCs/>
                <w:kern w:val="0"/>
                <w:sz w:val="22"/>
                <w:szCs w:val="22"/>
                <w:lang w:eastAsia="ar-SA"/>
              </w:rPr>
              <w:t>1.pielikums</w:t>
            </w:r>
          </w:p>
        </w:tc>
        <w:tc>
          <w:tcPr>
            <w:tcW w:w="7291" w:type="dxa"/>
            <w:tcBorders/>
          </w:tcPr>
          <w:p>
            <w:pPr>
              <w:pStyle w:val="Normal"/>
              <w:widowControl w:val="false"/>
              <w:suppressAutoHyphens w:val="true"/>
              <w:spacing w:before="0" w:after="0"/>
              <w:ind w:left="284" w:right="73" w:hanging="0"/>
              <w:jc w:val="both"/>
              <w:rPr>
                <w:rFonts w:eastAsia="Calibri"/>
                <w:bCs/>
                <w:sz w:val="22"/>
                <w:szCs w:val="22"/>
                <w:lang w:eastAsia="ar-SA"/>
              </w:rPr>
            </w:pPr>
            <w:r>
              <w:rPr>
                <w:rFonts w:eastAsia="Calibri"/>
                <w:bCs/>
                <w:kern w:val="0"/>
                <w:sz w:val="22"/>
                <w:szCs w:val="22"/>
                <w:lang w:eastAsia="ar-SA"/>
              </w:rPr>
              <w:t>Būvprojekts ( LG pluss IK</w:t>
            </w:r>
            <w:r>
              <w:rPr>
                <w:kern w:val="0"/>
                <w:sz w:val="22"/>
                <w:szCs w:val="22"/>
              </w:rPr>
              <w:t xml:space="preserve"> izstrādātais tehniskais projekts )</w:t>
            </w:r>
          </w:p>
        </w:tc>
      </w:tr>
      <w:tr>
        <w:trPr/>
        <w:tc>
          <w:tcPr>
            <w:tcW w:w="1643" w:type="dxa"/>
            <w:tcBorders/>
          </w:tcPr>
          <w:p>
            <w:pPr>
              <w:pStyle w:val="Normal"/>
              <w:widowControl w:val="false"/>
              <w:suppressAutoHyphens w:val="true"/>
              <w:spacing w:before="0" w:after="0"/>
              <w:jc w:val="both"/>
              <w:rPr>
                <w:rFonts w:eastAsia="Calibri"/>
                <w:bCs/>
                <w:sz w:val="22"/>
                <w:szCs w:val="22"/>
                <w:lang w:eastAsia="ar-SA"/>
              </w:rPr>
            </w:pPr>
            <w:r>
              <w:rPr>
                <w:rFonts w:eastAsia="Calibri"/>
                <w:bCs/>
                <w:kern w:val="0"/>
                <w:sz w:val="22"/>
                <w:szCs w:val="22"/>
                <w:lang w:eastAsia="ar-SA"/>
              </w:rPr>
              <w:t>2.pielikums</w:t>
            </w:r>
          </w:p>
        </w:tc>
        <w:tc>
          <w:tcPr>
            <w:tcW w:w="7291" w:type="dxa"/>
            <w:tcBorders/>
          </w:tcPr>
          <w:p>
            <w:pPr>
              <w:pStyle w:val="Normal"/>
              <w:widowControl w:val="false"/>
              <w:suppressAutoHyphens w:val="true"/>
              <w:spacing w:before="0" w:after="0"/>
              <w:jc w:val="both"/>
              <w:rPr>
                <w:rFonts w:eastAsia="Calibri"/>
                <w:bCs/>
                <w:sz w:val="22"/>
                <w:szCs w:val="22"/>
                <w:lang w:eastAsia="ar-SA"/>
              </w:rPr>
            </w:pPr>
            <w:r>
              <w:rPr>
                <w:rFonts w:eastAsia="Calibri"/>
                <w:bCs/>
                <w:kern w:val="0"/>
                <w:sz w:val="22"/>
                <w:szCs w:val="22"/>
                <w:lang w:eastAsia="ar-SA"/>
              </w:rPr>
              <w:t>Tehniskā specifikācija (Darbu apjomi)</w:t>
            </w:r>
          </w:p>
        </w:tc>
      </w:tr>
      <w:tr>
        <w:trPr/>
        <w:tc>
          <w:tcPr>
            <w:tcW w:w="1643" w:type="dxa"/>
            <w:tcBorders/>
          </w:tcPr>
          <w:p>
            <w:pPr>
              <w:pStyle w:val="Normal"/>
              <w:widowControl w:val="false"/>
              <w:suppressAutoHyphens w:val="true"/>
              <w:spacing w:before="0" w:after="0"/>
              <w:jc w:val="both"/>
              <w:rPr>
                <w:rFonts w:eastAsia="Calibri"/>
                <w:bCs/>
                <w:sz w:val="22"/>
                <w:szCs w:val="22"/>
                <w:lang w:eastAsia="ar-SA"/>
              </w:rPr>
            </w:pPr>
            <w:r>
              <w:rPr>
                <w:rFonts w:eastAsia="Calibri"/>
                <w:bCs/>
                <w:kern w:val="0"/>
                <w:sz w:val="22"/>
                <w:szCs w:val="22"/>
                <w:lang w:eastAsia="ar-SA"/>
              </w:rPr>
              <w:t>3.pielikums</w:t>
            </w:r>
          </w:p>
        </w:tc>
        <w:tc>
          <w:tcPr>
            <w:tcW w:w="7291" w:type="dxa"/>
            <w:tcBorders/>
          </w:tcPr>
          <w:p>
            <w:pPr>
              <w:pStyle w:val="Normal"/>
              <w:widowControl w:val="false"/>
              <w:suppressAutoHyphens w:val="true"/>
              <w:spacing w:before="0" w:after="0"/>
              <w:jc w:val="both"/>
              <w:rPr>
                <w:rFonts w:eastAsia="Calibri"/>
                <w:bCs/>
                <w:sz w:val="22"/>
                <w:szCs w:val="22"/>
                <w:lang w:eastAsia="ar-SA"/>
              </w:rPr>
            </w:pPr>
            <w:r>
              <w:rPr>
                <w:rFonts w:eastAsia="Calibri"/>
                <w:bCs/>
                <w:kern w:val="0"/>
                <w:sz w:val="22"/>
                <w:szCs w:val="22"/>
                <w:lang w:eastAsia="ar-SA"/>
              </w:rPr>
              <w:t>Pretendenta apliecinājums</w:t>
            </w:r>
          </w:p>
        </w:tc>
      </w:tr>
      <w:tr>
        <w:trPr/>
        <w:tc>
          <w:tcPr>
            <w:tcW w:w="1643" w:type="dxa"/>
            <w:tcBorders/>
          </w:tcPr>
          <w:p>
            <w:pPr>
              <w:pStyle w:val="Normal"/>
              <w:widowControl w:val="false"/>
              <w:suppressAutoHyphens w:val="true"/>
              <w:spacing w:before="0" w:after="0"/>
              <w:jc w:val="both"/>
              <w:rPr>
                <w:rFonts w:eastAsia="Calibri"/>
                <w:bCs/>
                <w:sz w:val="22"/>
                <w:szCs w:val="22"/>
                <w:lang w:eastAsia="ar-SA"/>
              </w:rPr>
            </w:pPr>
            <w:r>
              <w:rPr>
                <w:rFonts w:eastAsia="Calibri"/>
                <w:bCs/>
                <w:kern w:val="0"/>
                <w:sz w:val="22"/>
                <w:szCs w:val="22"/>
                <w:lang w:eastAsia="ar-SA"/>
              </w:rPr>
              <w:t>4.pielikums</w:t>
            </w:r>
          </w:p>
        </w:tc>
        <w:tc>
          <w:tcPr>
            <w:tcW w:w="7291" w:type="dxa"/>
            <w:tcBorders/>
          </w:tcPr>
          <w:p>
            <w:pPr>
              <w:pStyle w:val="Normal"/>
              <w:widowControl w:val="false"/>
              <w:suppressAutoHyphens w:val="true"/>
              <w:spacing w:before="0" w:after="0"/>
              <w:jc w:val="both"/>
              <w:rPr>
                <w:bCs/>
                <w:iCs/>
                <w:sz w:val="22"/>
                <w:szCs w:val="22"/>
              </w:rPr>
            </w:pPr>
            <w:r>
              <w:rPr>
                <w:bCs/>
                <w:iCs/>
                <w:kern w:val="0"/>
                <w:sz w:val="22"/>
                <w:szCs w:val="22"/>
              </w:rPr>
              <w:t>Pretendenta pieredze</w:t>
            </w:r>
          </w:p>
        </w:tc>
      </w:tr>
      <w:tr>
        <w:trPr>
          <w:trHeight w:val="203" w:hRule="atLeast"/>
        </w:trPr>
        <w:tc>
          <w:tcPr>
            <w:tcW w:w="1643" w:type="dxa"/>
            <w:tcBorders/>
          </w:tcPr>
          <w:p>
            <w:pPr>
              <w:pStyle w:val="Normal"/>
              <w:widowControl w:val="false"/>
              <w:suppressAutoHyphens w:val="true"/>
              <w:spacing w:before="0" w:after="0"/>
              <w:jc w:val="both"/>
              <w:rPr>
                <w:rFonts w:eastAsia="Calibri"/>
                <w:bCs/>
                <w:sz w:val="22"/>
                <w:szCs w:val="22"/>
                <w:lang w:eastAsia="ar-SA"/>
              </w:rPr>
            </w:pPr>
            <w:r>
              <w:rPr>
                <w:rFonts w:eastAsia="Calibri"/>
                <w:bCs/>
                <w:kern w:val="0"/>
                <w:sz w:val="22"/>
                <w:szCs w:val="22"/>
                <w:lang w:eastAsia="ar-SA"/>
              </w:rPr>
              <w:t>5.pielikums</w:t>
            </w:r>
          </w:p>
        </w:tc>
        <w:tc>
          <w:tcPr>
            <w:tcW w:w="7291" w:type="dxa"/>
            <w:tcBorders/>
          </w:tcPr>
          <w:p>
            <w:pPr>
              <w:pStyle w:val="Normal"/>
              <w:widowControl w:val="false"/>
              <w:suppressAutoHyphens w:val="true"/>
              <w:spacing w:before="0" w:after="0"/>
              <w:ind w:left="284" w:right="-6" w:hanging="0"/>
              <w:jc w:val="left"/>
              <w:rPr>
                <w:rFonts w:eastAsia="Calibri"/>
                <w:bCs/>
                <w:sz w:val="22"/>
                <w:szCs w:val="22"/>
                <w:lang w:eastAsia="ar-SA"/>
              </w:rPr>
            </w:pPr>
            <w:r>
              <w:rPr>
                <w:bCs/>
                <w:kern w:val="0"/>
                <w:sz w:val="22"/>
                <w:szCs w:val="22"/>
              </w:rPr>
              <w:t>Pretendenta piesaistīto speciālistu profesionālās kvalifikācijas, izglītības un darba pieredzes apraksts</w:t>
            </w:r>
          </w:p>
        </w:tc>
      </w:tr>
      <w:tr>
        <w:trPr/>
        <w:tc>
          <w:tcPr>
            <w:tcW w:w="1643" w:type="dxa"/>
            <w:tcBorders/>
          </w:tcPr>
          <w:p>
            <w:pPr>
              <w:pStyle w:val="Normal"/>
              <w:widowControl w:val="false"/>
              <w:suppressAutoHyphens w:val="true"/>
              <w:spacing w:before="0" w:after="0"/>
              <w:jc w:val="both"/>
              <w:rPr>
                <w:rFonts w:eastAsia="Calibri"/>
                <w:bCs/>
                <w:sz w:val="22"/>
                <w:szCs w:val="22"/>
                <w:lang w:eastAsia="ar-SA"/>
              </w:rPr>
            </w:pPr>
            <w:r>
              <w:rPr>
                <w:rFonts w:eastAsia="Calibri"/>
                <w:bCs/>
                <w:kern w:val="0"/>
                <w:sz w:val="22"/>
                <w:szCs w:val="22"/>
                <w:lang w:eastAsia="ar-SA"/>
              </w:rPr>
              <w:t>6.pielikums</w:t>
            </w:r>
          </w:p>
        </w:tc>
        <w:tc>
          <w:tcPr>
            <w:tcW w:w="7291" w:type="dxa"/>
            <w:tcBorders/>
          </w:tcPr>
          <w:p>
            <w:pPr>
              <w:pStyle w:val="Normal"/>
              <w:widowControl w:val="false"/>
              <w:suppressAutoHyphens w:val="true"/>
              <w:spacing w:before="0" w:after="0"/>
              <w:jc w:val="both"/>
              <w:rPr>
                <w:rFonts w:eastAsia="Calibri"/>
                <w:bCs/>
                <w:sz w:val="22"/>
                <w:szCs w:val="22"/>
                <w:lang w:eastAsia="ar-SA"/>
              </w:rPr>
            </w:pPr>
            <w:r>
              <w:rPr>
                <w:bCs/>
                <w:iCs/>
                <w:kern w:val="0"/>
                <w:sz w:val="22"/>
                <w:szCs w:val="22"/>
              </w:rPr>
              <w:t>Apakšuzņēmējiem nododamo darbu saraksts</w:t>
            </w:r>
          </w:p>
        </w:tc>
      </w:tr>
      <w:tr>
        <w:trPr/>
        <w:tc>
          <w:tcPr>
            <w:tcW w:w="1643" w:type="dxa"/>
            <w:tcBorders/>
          </w:tcPr>
          <w:p>
            <w:pPr>
              <w:pStyle w:val="Normal"/>
              <w:widowControl w:val="false"/>
              <w:suppressAutoHyphens w:val="true"/>
              <w:spacing w:before="0" w:after="0"/>
              <w:jc w:val="both"/>
              <w:rPr>
                <w:rFonts w:eastAsia="Calibri"/>
                <w:bCs/>
                <w:sz w:val="22"/>
                <w:szCs w:val="22"/>
                <w:lang w:eastAsia="ar-SA"/>
              </w:rPr>
            </w:pPr>
            <w:r>
              <w:rPr>
                <w:rFonts w:eastAsia="Calibri"/>
                <w:bCs/>
                <w:kern w:val="0"/>
                <w:sz w:val="22"/>
                <w:szCs w:val="22"/>
                <w:lang w:eastAsia="ar-SA"/>
              </w:rPr>
              <w:t>7.pielikums</w:t>
            </w:r>
          </w:p>
        </w:tc>
        <w:tc>
          <w:tcPr>
            <w:tcW w:w="7291" w:type="dxa"/>
            <w:tcBorders/>
          </w:tcPr>
          <w:p>
            <w:pPr>
              <w:pStyle w:val="Normal"/>
              <w:keepNext w:val="true"/>
              <w:widowControl w:val="false"/>
              <w:numPr>
                <w:ilvl w:val="0"/>
                <w:numId w:val="0"/>
              </w:numPr>
              <w:tabs>
                <w:tab w:val="clear" w:pos="851"/>
                <w:tab w:val="left" w:pos="993" w:leader="none"/>
                <w:tab w:val="left" w:pos="1418" w:leader="none"/>
                <w:tab w:val="left" w:pos="1985" w:leader="none"/>
              </w:tabs>
              <w:suppressAutoHyphens w:val="true"/>
              <w:spacing w:before="0" w:after="0"/>
              <w:ind w:left="284" w:right="-284" w:hanging="0"/>
              <w:jc w:val="both"/>
              <w:outlineLvl w:val="5"/>
              <w:rPr>
                <w:rFonts w:eastAsia="Calibri"/>
                <w:bCs/>
                <w:sz w:val="22"/>
                <w:szCs w:val="22"/>
                <w:lang w:eastAsia="ar-SA"/>
              </w:rPr>
            </w:pPr>
            <w:r>
              <w:rPr>
                <w:rFonts w:eastAsia="Calibri"/>
                <w:kern w:val="0"/>
                <w:sz w:val="22"/>
                <w:szCs w:val="22"/>
              </w:rPr>
              <w:t>Līgumsaistību izpildes un darbu garantijas laika Garantijas paraugs</w:t>
            </w:r>
          </w:p>
        </w:tc>
      </w:tr>
      <w:tr>
        <w:trPr/>
        <w:tc>
          <w:tcPr>
            <w:tcW w:w="1643" w:type="dxa"/>
            <w:tcBorders/>
          </w:tcPr>
          <w:p>
            <w:pPr>
              <w:pStyle w:val="Normal"/>
              <w:widowControl w:val="false"/>
              <w:suppressAutoHyphens w:val="true"/>
              <w:spacing w:before="0" w:after="0"/>
              <w:jc w:val="both"/>
              <w:rPr>
                <w:rFonts w:eastAsia="Calibri"/>
                <w:bCs/>
                <w:sz w:val="22"/>
                <w:szCs w:val="22"/>
                <w:lang w:eastAsia="ar-SA"/>
              </w:rPr>
            </w:pPr>
            <w:r>
              <w:rPr>
                <w:rFonts w:eastAsia="Calibri"/>
                <w:bCs/>
                <w:kern w:val="0"/>
                <w:sz w:val="22"/>
                <w:szCs w:val="22"/>
                <w:lang w:eastAsia="ar-SA"/>
              </w:rPr>
              <w:t>8.pielikums</w:t>
            </w:r>
          </w:p>
        </w:tc>
        <w:tc>
          <w:tcPr>
            <w:tcW w:w="7291" w:type="dxa"/>
            <w:tcBorders/>
          </w:tcPr>
          <w:p>
            <w:pPr>
              <w:pStyle w:val="Normal"/>
              <w:widowControl w:val="false"/>
              <w:suppressAutoHyphens w:val="true"/>
              <w:spacing w:before="0" w:after="0"/>
              <w:jc w:val="both"/>
              <w:rPr>
                <w:sz w:val="22"/>
                <w:szCs w:val="22"/>
              </w:rPr>
            </w:pPr>
            <w:bookmarkStart w:id="136" w:name="_Toc136069891"/>
            <w:bookmarkStart w:id="137" w:name="_Toc139176805"/>
            <w:r>
              <w:rPr>
                <w:kern w:val="0"/>
                <w:sz w:val="22"/>
                <w:szCs w:val="22"/>
              </w:rPr>
              <w:t>Līguma projekts</w:t>
            </w:r>
            <w:bookmarkEnd w:id="136"/>
            <w:bookmarkEnd w:id="137"/>
          </w:p>
        </w:tc>
      </w:tr>
    </w:tbl>
    <w:p>
      <w:pPr>
        <w:pStyle w:val="Normal"/>
        <w:ind w:left="-142" w:right="-284" w:hanging="0"/>
        <w:rPr>
          <w:rFonts w:eastAsia="Calibri"/>
          <w:bCs/>
          <w:sz w:val="22"/>
          <w:szCs w:val="22"/>
          <w:lang w:eastAsia="ar-SA"/>
        </w:rPr>
      </w:pPr>
      <w:r>
        <w:rPr>
          <w:rFonts w:eastAsia="Calibri"/>
          <w:bCs/>
          <w:sz w:val="22"/>
          <w:szCs w:val="22"/>
          <w:lang w:eastAsia="ar-SA"/>
        </w:rPr>
      </w:r>
    </w:p>
    <w:p>
      <w:pPr>
        <w:pStyle w:val="Normal"/>
        <w:ind w:left="-142" w:right="-284" w:hanging="0"/>
        <w:rPr>
          <w:rFonts w:eastAsia="Calibri"/>
          <w:bCs/>
          <w:sz w:val="22"/>
          <w:szCs w:val="22"/>
          <w:lang w:eastAsia="ar-SA"/>
        </w:rPr>
      </w:pPr>
      <w:r>
        <w:rPr>
          <w:rFonts w:eastAsia="Calibri"/>
          <w:bCs/>
          <w:sz w:val="22"/>
          <w:szCs w:val="22"/>
          <w:lang w:eastAsia="ar-SA"/>
        </w:rPr>
      </w:r>
    </w:p>
    <w:p>
      <w:pPr>
        <w:pStyle w:val="Normal"/>
        <w:ind w:left="-142" w:right="-284" w:hanging="0"/>
        <w:rPr>
          <w:rFonts w:eastAsia="Calibri"/>
          <w:bCs/>
          <w:sz w:val="22"/>
          <w:szCs w:val="22"/>
          <w:lang w:eastAsia="ar-SA"/>
        </w:rPr>
      </w:pPr>
      <w:r>
        <w:rPr>
          <w:rFonts w:eastAsia="Calibri"/>
          <w:bCs/>
          <w:sz w:val="22"/>
          <w:szCs w:val="22"/>
          <w:lang w:eastAsia="ar-SA"/>
        </w:rPr>
      </w:r>
    </w:p>
    <w:tbl>
      <w:tblPr>
        <w:tblStyle w:val="40"/>
        <w:tblW w:w="9181" w:type="dxa"/>
        <w:jc w:val="left"/>
        <w:tblInd w:w="-142" w:type="dxa"/>
        <w:tblLayout w:type="fixed"/>
        <w:tblCellMar>
          <w:top w:w="0" w:type="dxa"/>
          <w:left w:w="108" w:type="dxa"/>
          <w:bottom w:w="0" w:type="dxa"/>
          <w:right w:w="108" w:type="dxa"/>
        </w:tblCellMar>
      </w:tblPr>
      <w:tblGrid>
        <w:gridCol w:w="4928"/>
        <w:gridCol w:w="4252"/>
      </w:tblGrid>
      <w:tr>
        <w:trPr/>
        <w:tc>
          <w:tcPr>
            <w:tcW w:w="4928" w:type="dxa"/>
            <w:tcBorders>
              <w:top w:val="nil"/>
              <w:left w:val="nil"/>
              <w:bottom w:val="nil"/>
              <w:right w:val="nil"/>
            </w:tcBorders>
          </w:tcPr>
          <w:p>
            <w:pPr>
              <w:pStyle w:val="Normal"/>
              <w:widowControl w:val="false"/>
              <w:suppressAutoHyphens w:val="true"/>
              <w:spacing w:before="0" w:after="0"/>
              <w:ind w:left="0" w:right="-284" w:hanging="0"/>
              <w:jc w:val="left"/>
              <w:rPr>
                <w:kern w:val="0"/>
              </w:rPr>
            </w:pPr>
            <w:r>
              <w:rPr>
                <w:rFonts w:eastAsia="Calibri"/>
                <w:b/>
                <w:bCs/>
                <w:kern w:val="0"/>
                <w:sz w:val="22"/>
                <w:szCs w:val="22"/>
                <w:lang w:eastAsia="ar-SA"/>
              </w:rPr>
              <w:t>SIA ”LATGALES NAMU APSAIMNIEKOTĀJS”</w:t>
            </w:r>
          </w:p>
          <w:p>
            <w:pPr>
              <w:pStyle w:val="Normal"/>
              <w:widowControl w:val="false"/>
              <w:suppressAutoHyphens w:val="true"/>
              <w:spacing w:before="0" w:after="0"/>
              <w:ind w:left="0" w:right="-284" w:hanging="0"/>
              <w:jc w:val="center"/>
              <w:rPr>
                <w:kern w:val="0"/>
              </w:rPr>
            </w:pPr>
            <w:r>
              <w:rPr>
                <w:rFonts w:eastAsia="Calibri"/>
                <w:kern w:val="0"/>
                <w:sz w:val="22"/>
                <w:szCs w:val="22"/>
                <w:lang w:eastAsia="ar-SA"/>
              </w:rPr>
              <w:t>valdes priekšsēdētājs</w:t>
            </w:r>
          </w:p>
        </w:tc>
        <w:tc>
          <w:tcPr>
            <w:tcW w:w="4252" w:type="dxa"/>
            <w:tcBorders>
              <w:top w:val="nil"/>
              <w:left w:val="nil"/>
              <w:bottom w:val="nil"/>
              <w:right w:val="nil"/>
            </w:tcBorders>
          </w:tcPr>
          <w:p>
            <w:pPr>
              <w:pStyle w:val="Normal"/>
              <w:widowControl w:val="false"/>
              <w:suppressAutoHyphens w:val="true"/>
              <w:spacing w:before="0" w:after="0"/>
              <w:ind w:left="0" w:right="-284" w:hanging="0"/>
              <w:jc w:val="left"/>
              <w:rPr>
                <w:rFonts w:eastAsia="Calibri"/>
                <w:sz w:val="22"/>
                <w:szCs w:val="22"/>
                <w:lang w:eastAsia="ar-SA"/>
              </w:rPr>
            </w:pPr>
            <w:r>
              <w:rPr>
                <w:rFonts w:eastAsia="Calibri"/>
                <w:sz w:val="22"/>
                <w:szCs w:val="22"/>
                <w:lang w:eastAsia="ar-SA"/>
              </w:rPr>
            </w:r>
          </w:p>
          <w:p>
            <w:pPr>
              <w:pStyle w:val="Normal"/>
              <w:widowControl w:val="false"/>
              <w:suppressAutoHyphens w:val="true"/>
              <w:spacing w:before="0" w:after="0"/>
              <w:ind w:left="0" w:right="141" w:hanging="0"/>
              <w:jc w:val="right"/>
              <w:rPr>
                <w:rFonts w:eastAsia="Calibri"/>
                <w:sz w:val="22"/>
                <w:szCs w:val="22"/>
                <w:lang w:eastAsia="ar-SA"/>
              </w:rPr>
            </w:pPr>
            <w:r>
              <w:rPr>
                <w:rFonts w:eastAsia="Calibri"/>
                <w:sz w:val="22"/>
                <w:szCs w:val="22"/>
                <w:lang w:eastAsia="ar-SA"/>
              </w:rPr>
            </w:r>
          </w:p>
          <w:p>
            <w:pPr>
              <w:pStyle w:val="Normal"/>
              <w:widowControl w:val="false"/>
              <w:suppressAutoHyphens w:val="true"/>
              <w:spacing w:before="0" w:after="0"/>
              <w:ind w:left="0" w:right="141" w:hanging="0"/>
              <w:jc w:val="right"/>
              <w:rPr>
                <w:rFonts w:eastAsia="Calibri"/>
                <w:b/>
                <w:b/>
                <w:bCs/>
                <w:sz w:val="22"/>
                <w:szCs w:val="22"/>
                <w:lang w:eastAsia="ar-SA"/>
              </w:rPr>
            </w:pPr>
            <w:r>
              <w:rPr>
                <w:rFonts w:eastAsia="Calibri"/>
                <w:b/>
                <w:bCs/>
                <w:kern w:val="0"/>
                <w:sz w:val="22"/>
                <w:szCs w:val="22"/>
                <w:lang w:eastAsia="ar-SA"/>
              </w:rPr>
              <w:t>Ilmārs Ostrovskis</w:t>
            </w:r>
          </w:p>
        </w:tc>
      </w:tr>
    </w:tbl>
    <w:p>
      <w:pPr>
        <w:pStyle w:val="Normal"/>
        <w:ind w:left="-142" w:right="-284" w:hanging="0"/>
        <w:rPr>
          <w:rFonts w:eastAsia="Calibri"/>
          <w:bCs/>
          <w:sz w:val="22"/>
          <w:szCs w:val="22"/>
          <w:lang w:eastAsia="ar-SA"/>
        </w:rPr>
      </w:pPr>
      <w:r>
        <w:rPr/>
      </w:r>
    </w:p>
    <w:sectPr>
      <w:headerReference w:type="even" r:id="rId2"/>
      <w:headerReference w:type="default" r:id="rId3"/>
      <w:footerReference w:type="default" r:id="rId4"/>
      <w:type w:val="nextPage"/>
      <w:pgSz w:w="11906" w:h="16838"/>
      <w:pgMar w:left="1701" w:right="1134" w:gutter="0" w:header="720" w:top="1276" w:footer="720" w:bottom="1134"/>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Times New Roman">
    <w:charset w:val="ba"/>
    <w:family w:val="roman"/>
    <w:pitch w:val="variable"/>
  </w:font>
  <w:font w:name="Cambria">
    <w:charset w:val="ba"/>
    <w:family w:val="roman"/>
    <w:pitch w:val="variable"/>
  </w:font>
  <w:font w:name="Calibri">
    <w:charset w:val="ba"/>
    <w:family w:val="roman"/>
    <w:pitch w:val="variable"/>
  </w:font>
  <w:font w:name="Tahoma">
    <w:charset w:val="ba"/>
    <w:family w:val="roman"/>
    <w:pitch w:val="variable"/>
  </w:font>
  <w:font w:name="Courier New">
    <w:charset w:val="ba"/>
    <w:family w:val="roman"/>
    <w:pitch w:val="variable"/>
  </w:font>
  <w:font w:name="Liberation Sans">
    <w:altName w:val="Arial"/>
    <w:charset w:val="ba"/>
    <w:family w:val="roman"/>
    <w:pitch w:val="variable"/>
  </w:font>
  <w:font w:name="Arial Unicode MS">
    <w:charset w:val="ba"/>
    <w:family w:val="roman"/>
    <w:pitch w:val="variable"/>
  </w:font>
  <w:font w:name="BaltTimes">
    <w:charset w:val="ba"/>
    <w:family w:val="roman"/>
    <w:pitch w:val="variable"/>
  </w:font>
  <w:font w:name="Arial">
    <w:charset w:val="ba"/>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autotext"/>
      </w:docPartObj>
      <w:id w:val="713221695"/>
    </w:sdtPr>
    <w:sdtContent>
      <w:p>
        <w:pPr>
          <w:pStyle w:val="Kjene"/>
          <w:jc w:val="center"/>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9</w:t>
        </w:r>
        <w:r>
          <w:rPr>
            <w:sz w:val="20"/>
            <w:szCs w:val="20"/>
          </w:rPr>
          <w:fldChar w:fldCharType="end"/>
        </w:r>
        <w:r>
          <w:rPr>
            <w:sz w:val="20"/>
            <w:szCs w:val="20"/>
          </w:rPr>
          <w:t xml:space="preserve"> </w:t>
        </w:r>
        <w:r>
          <w:rPr>
            <w:sz w:val="20"/>
            <w:szCs w:val="20"/>
          </w:rPr>
          <w:t>no 10 lpp.</w:t>
        </w:r>
      </w:p>
    </w:sdtContent>
  </w:sdt>
  <w:p>
    <w:pPr>
      <w:pStyle w:val="Kjene"/>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Galvene"/>
      <w:rPr/>
    </w:pPr>
    <w:r>
      <w:rPr/>
      <mc:AlternateContent>
        <mc:Choice Requires="wps">
          <w:drawing>
            <wp:anchor behindDoc="1" distT="0" distB="0" distL="0" distR="0" simplePos="0" locked="0" layoutInCell="0" allowOverlap="1" relativeHeight="2">
              <wp:simplePos x="0" y="0"/>
              <wp:positionH relativeFrom="margin">
                <wp:align>center</wp:align>
              </wp:positionH>
              <wp:positionV relativeFrom="paragraph">
                <wp:posOffset>635</wp:posOffset>
              </wp:positionV>
              <wp:extent cx="14605" cy="14605"/>
              <wp:effectExtent l="0" t="0" r="0" b="0"/>
              <wp:wrapSquare wrapText="bothSides"/>
              <wp:docPr id="1" name="Ietvars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Galvene"/>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rIns="0" tIns="0" bIns="0" anchor="t">
                      <a:spAutoFit/>
                    </wps:bodyPr>
                  </wps:wsp>
                </a:graphicData>
              </a:graphic>
            </wp:anchor>
          </w:drawing>
        </mc:Choice>
        <mc:Fallback>
          <w:pict>
            <v:rect id="shape_0" ID="Ietvars1" path="m0,0l-2147483645,0l-2147483645,-2147483646l0,-2147483646xe" stroked="f" o:allowincell="f" style="position:absolute;margin-left:0pt;margin-top:0.05pt;width:1.1pt;height:1.1pt;mso-wrap-style:square;v-text-anchor:top;mso-position-horizontal:center;mso-position-horizontal-relative:margin">
              <v:fill o:detectmouseclick="t" on="false"/>
              <v:stroke color="#3465a4" joinstyle="round" endcap="flat"/>
              <v:textbox>
                <w:txbxContent>
                  <w:p>
                    <w:pPr>
                      <w:pStyle w:val="Galvene"/>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Galvene"/>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Virsraksts1"/>
      <w:numFmt w:val="decimal"/>
      <w:lvlText w:val="%1"/>
      <w:lvlJc w:val="left"/>
      <w:pPr>
        <w:tabs>
          <w:tab w:val="num" w:pos="0"/>
        </w:tabs>
        <w:ind w:left="432" w:hanging="432"/>
      </w:pPr>
      <w:rPr>
        <w:sz w:val="22"/>
        <w:b w:val="false"/>
      </w:rPr>
    </w:lvl>
    <w:lvl w:ilvl="1">
      <w:start w:val="1"/>
      <w:pStyle w:val="Virsraksts2"/>
      <w:numFmt w:val="decimal"/>
      <w:lvlText w:val="%1.%2"/>
      <w:lvlJc w:val="left"/>
      <w:pPr>
        <w:tabs>
          <w:tab w:val="num" w:pos="0"/>
        </w:tabs>
        <w:ind w:left="576" w:hanging="576"/>
      </w:pPr>
      <w:rPr>
        <w:sz w:val="22"/>
        <w:b/>
      </w:rPr>
    </w:lvl>
    <w:lvl w:ilvl="2">
      <w:start w:val="1"/>
      <w:pStyle w:val="Virsraksts3"/>
      <w:numFmt w:val="decimal"/>
      <w:lvlText w:val="%1.%2.%3"/>
      <w:lvlJc w:val="left"/>
      <w:pPr>
        <w:tabs>
          <w:tab w:val="num" w:pos="0"/>
        </w:tabs>
        <w:ind w:left="720" w:hanging="720"/>
      </w:pPr>
      <w:rPr>
        <w:sz w:val="24"/>
        <w:i w:val="false"/>
        <w:b/>
        <w:szCs w:val="24"/>
      </w:rPr>
    </w:lvl>
    <w:lvl w:ilvl="3">
      <w:start w:val="1"/>
      <w:pStyle w:val="Virsraksts4"/>
      <w:numFmt w:val="decimal"/>
      <w:lvlText w:val="%1.%2.%3.%4"/>
      <w:lvlJc w:val="left"/>
      <w:pPr>
        <w:tabs>
          <w:tab w:val="num" w:pos="0"/>
        </w:tabs>
        <w:ind w:left="864" w:hanging="864"/>
      </w:pPr>
      <w:rPr>
        <w:b/>
      </w:rPr>
    </w:lvl>
    <w:lvl w:ilvl="4">
      <w:start w:val="1"/>
      <w:pStyle w:val="Virsraksts5"/>
      <w:numFmt w:val="decimal"/>
      <w:lvlText w:val="%1.%2.%3.%4.%5"/>
      <w:lvlJc w:val="left"/>
      <w:pPr>
        <w:tabs>
          <w:tab w:val="num" w:pos="0"/>
        </w:tabs>
        <w:ind w:left="1008" w:hanging="1008"/>
      </w:pPr>
      <w:rPr/>
    </w:lvl>
    <w:lvl w:ilvl="5">
      <w:start w:val="1"/>
      <w:pStyle w:val="Virsraksts6"/>
      <w:numFmt w:val="decimal"/>
      <w:lvlText w:val="%1.%2.%3.%4.%5.%6"/>
      <w:lvlJc w:val="left"/>
      <w:pPr>
        <w:tabs>
          <w:tab w:val="num" w:pos="0"/>
        </w:tabs>
        <w:ind w:left="1152" w:hanging="1152"/>
      </w:pPr>
      <w:rPr/>
    </w:lvl>
    <w:lvl w:ilvl="6">
      <w:start w:val="1"/>
      <w:pStyle w:val="Virsraksts7"/>
      <w:numFmt w:val="decimal"/>
      <w:lvlText w:val="%1.%2.%3.%4.%5.%6.%7"/>
      <w:lvlJc w:val="left"/>
      <w:pPr>
        <w:tabs>
          <w:tab w:val="num" w:pos="0"/>
        </w:tabs>
        <w:ind w:left="1296" w:hanging="1296"/>
      </w:pPr>
      <w:rPr/>
    </w:lvl>
    <w:lvl w:ilvl="7">
      <w:start w:val="1"/>
      <w:pStyle w:val="Virsraksts8"/>
      <w:numFmt w:val="decimal"/>
      <w:lvlText w:val="%1.%2.%3.%4.%5.%6.%7.%8"/>
      <w:lvlJc w:val="left"/>
      <w:pPr>
        <w:tabs>
          <w:tab w:val="num" w:pos="0"/>
        </w:tabs>
        <w:ind w:left="1440" w:hanging="1440"/>
      </w:pPr>
      <w:rPr/>
    </w:lvl>
    <w:lvl w:ilvl="8">
      <w:start w:val="1"/>
      <w:pStyle w:val="Virsraksts9"/>
      <w:numFmt w:val="decimal"/>
      <w:lvlText w:val="%1.%2.%3.%4.%5.%6.%7.%8.%9"/>
      <w:lvlJc w:val="left"/>
      <w:pPr>
        <w:tabs>
          <w:tab w:val="num" w:pos="0"/>
        </w:tabs>
        <w:ind w:left="1584" w:hanging="1584"/>
      </w:pPr>
      <w:rPr/>
    </w:lvl>
  </w:abstractNum>
  <w:abstractNum w:abstractNumId="2">
    <w:lvl w:ilvl="0">
      <w:start w:val="1"/>
      <w:numFmt w:val="decimal"/>
      <w:lvlText w:val="%1."/>
      <w:lvlJc w:val="left"/>
      <w:pPr>
        <w:tabs>
          <w:tab w:val="num" w:pos="3272"/>
        </w:tabs>
        <w:ind w:left="3272" w:hanging="720"/>
      </w:pPr>
      <w:rPr>
        <w:b/>
      </w:rPr>
    </w:lvl>
    <w:lvl w:ilvl="1">
      <w:start w:val="1"/>
      <w:numFmt w:val="decimal"/>
      <w:lvlText w:val="%1.%2."/>
      <w:lvlJc w:val="left"/>
      <w:pPr>
        <w:tabs>
          <w:tab w:val="num" w:pos="720"/>
        </w:tabs>
        <w:ind w:left="720" w:hanging="720"/>
      </w:pPr>
      <w:rPr>
        <w:sz w:val="22"/>
        <w:b w:val="false"/>
        <w:lang w:val="lv-LV"/>
      </w:rPr>
    </w:lvl>
    <w:lvl w:ilvl="2">
      <w:start w:val="1"/>
      <w:numFmt w:val="decimal"/>
      <w:lvlText w:val="%1.%2.%3."/>
      <w:lvlJc w:val="left"/>
      <w:pPr>
        <w:tabs>
          <w:tab w:val="num" w:pos="1430"/>
        </w:tabs>
        <w:ind w:left="1430" w:hanging="720"/>
      </w:pPr>
      <w:rPr>
        <w:sz w:val="22"/>
        <w:b w:val="false"/>
        <w:szCs w:val="24"/>
        <w:rFonts w:ascii="Times New Roman" w:hAnsi="Times New Roman" w:cs="Times New Roman"/>
      </w:rPr>
    </w:lvl>
    <w:lvl w:ilvl="3">
      <w:start w:val="1"/>
      <w:numFmt w:val="decimal"/>
      <w:lvlText w:val="%1.%2.%3.%4."/>
      <w:lvlJc w:val="left"/>
      <w:pPr>
        <w:tabs>
          <w:tab w:val="num" w:pos="720"/>
        </w:tabs>
        <w:ind w:left="720" w:hanging="720"/>
      </w:pPr>
      <w:rPr>
        <w:smallCaps w:val="false"/>
        <w:caps w:val="false"/>
        <w:dstrike w:val="false"/>
        <w:strike w:val="false"/>
        <w:vertAlign w:val="baseline"/>
        <w:position w:val="0"/>
        <w:sz w:val="22"/>
        <w:sz w:val="22"/>
        <w:spacing w:val="0"/>
        <w:i w:val="false"/>
        <w:u w:val="none"/>
        <w:b w:val="false"/>
        <w:kern w:val="0"/>
        <w:iCs w:val="false"/>
        <w:bCs w:val="false"/>
        <w:vanish w:val="false"/>
        <w:rFonts w:ascii="Times New Roman" w:hAnsi="Times New Roman" w:cs="Times New Roman"/>
        <w:color w:val="000000"/>
        <w14:shadow w14:blurRad="0" w14:dist="0" w14:dir="0" w14:sx="0" w14:sy="0" w14:kx="0" w14:ky="0" w14:algn="none">
          <w14:srgbClr w14:val="000000"/>
        </w14:shadow>
      </w:rPr>
    </w:lvl>
    <w:lvl w:ilvl="4">
      <w:start w:val="1"/>
      <w:numFmt w:val="decimal"/>
      <w:lvlText w:val="%1.%2.%3.%4.%5."/>
      <w:lvlJc w:val="left"/>
      <w:pPr>
        <w:tabs>
          <w:tab w:val="num" w:pos="1080"/>
        </w:tabs>
        <w:ind w:left="1080" w:hanging="1080"/>
      </w:pPr>
      <w:rPr>
        <w:b w:val="false"/>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3">
    <w:lvl w:ilvl="0">
      <w:start w:val="1"/>
      <w:numFmt w:val="decimal"/>
      <w:lvlText w:val="%1."/>
      <w:lvlJc w:val="left"/>
      <w:pPr>
        <w:tabs>
          <w:tab w:val="num" w:pos="420"/>
        </w:tabs>
        <w:ind w:left="420" w:hanging="420"/>
      </w:pPr>
      <w:rPr>
        <w:b/>
      </w:rPr>
    </w:lvl>
    <w:lvl w:ilvl="1">
      <w:start w:val="1"/>
      <w:numFmt w:val="decimal"/>
      <w:lvlText w:val="%1.%2."/>
      <w:lvlJc w:val="left"/>
      <w:pPr>
        <w:tabs>
          <w:tab w:val="num" w:pos="704"/>
        </w:tabs>
        <w:ind w:left="704" w:hanging="420"/>
      </w:pPr>
      <w:rPr>
        <w:b w:val="false"/>
        <w:color w:val="auto"/>
      </w:rPr>
    </w:lvl>
    <w:lvl w:ilvl="2">
      <w:start w:val="1"/>
      <w:numFmt w:val="decimal"/>
      <w:lvlText w:val="%1.%2.%3."/>
      <w:lvlJc w:val="left"/>
      <w:pPr>
        <w:tabs>
          <w:tab w:val="num" w:pos="1287"/>
        </w:tabs>
        <w:ind w:left="1287" w:hanging="720"/>
      </w:pPr>
      <w:rPr/>
    </w:lvl>
    <w:lvl w:ilvl="3">
      <w:start w:val="1"/>
      <w:numFmt w:val="decimal"/>
      <w:lvlText w:val="%1.%2.%3.%4."/>
      <w:lvlJc w:val="left"/>
      <w:pPr>
        <w:tabs>
          <w:tab w:val="num" w:pos="720"/>
        </w:tabs>
        <w:ind w:left="720" w:hanging="720"/>
      </w:pPr>
      <w:rPr/>
    </w:lvl>
    <w:lvl w:ilvl="4">
      <w:start w:val="1"/>
      <w:numFmt w:val="decimal"/>
      <w:lvlText w:val="%1.%2.%3.%4.%5."/>
      <w:lvlJc w:val="left"/>
      <w:pPr>
        <w:tabs>
          <w:tab w:val="num" w:pos="1080"/>
        </w:tabs>
        <w:ind w:left="1080" w:hanging="1080"/>
      </w:pPr>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60"/>
  <w:embedSystemFonts/>
  <w:defaultTabStop w:val="851"/>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umentProtection w:edit="readOnly" w:formatting="1" w:cryptProviderType="rsaAES" w:cryptAlgorithmClass="hash" w:cryptAlgorithmType="typeAny" w:cryptAlgorithmSid="" w:cryptSpinCount="0" w:hash="" w:sal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lv-LV"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99" w:semiHidden="0" w:unhideWhenUsed="0" w:qFormat="1"/>
    <w:lsdException w:name="heading 2" w:uiPriority="99" w:semiHidden="0" w:unhideWhenUsed="0" w:qFormat="1"/>
    <w:lsdException w:name="heading 3" w:uiPriority="99" w:semiHidden="0" w:unhideWhenUsed="0" w:qFormat="1"/>
    <w:lsdException w:name="heading 4" w:uiPriority="99" w:semiHidden="0" w:unhideWhenUsed="0" w:qFormat="1"/>
    <w:lsdException w:name="heading 5" w:uiPriority="99" w:semiHidden="0" w:unhideWhenUsed="0" w:qFormat="1"/>
    <w:lsdException w:name="heading 6" w:uiPriority="99" w:semiHidden="0" w:unhideWhenUsed="0" w:qFormat="1"/>
    <w:lsdException w:name="heading 7" w:uiPriority="99" w:semiHidden="0" w:unhideWhenUsed="0" w:qFormat="1"/>
    <w:lsdException w:name="heading 8" w:uiPriority="99" w:semiHidden="0" w:unhideWhenUsed="0" w:qFormat="1"/>
    <w:lsdException w:name="heading 9" w:locked="1" w:uiPriority="99" w:semiHidden="0" w:unhideWhenUsed="0" w:qFormat="1"/>
    <w:lsdException w:name="index 1" w:locked="1" w:uiPriority="99"/>
    <w:lsdException w:name="index 2" w:locked="1" w:uiPriority="99"/>
    <w:lsdException w:name="index 3" w:locked="1" w:uiPriority="99"/>
    <w:lsdException w:name="index 4" w:locked="1" w:uiPriority="99"/>
    <w:lsdException w:name="index 5" w:locked="1" w:uiPriority="99"/>
    <w:lsdException w:name="index 6" w:locked="1" w:uiPriority="99"/>
    <w:lsdException w:name="index 7" w:locked="1" w:uiPriority="99"/>
    <w:lsdException w:name="index 8" w:locked="1" w:uiPriority="99"/>
    <w:lsdException w:name="index 9" w:locked="1" w:uiPriority="99"/>
    <w:lsdException w:name="toc 1" w:uiPriority="39" w:semiHidden="0" w:unhideWhenUsed="0" w:qFormat="1"/>
    <w:lsdException w:name="toc 2" w:uiPriority="39" w:semiHidden="0" w:unhideWhenUsed="0" w:qFormat="1"/>
    <w:lsdException w:name="toc 3" w:uiPriority="39" w:semiHidden="0" w:unhideWhenUsed="0" w:qFormat="1"/>
    <w:lsdException w:name="toc 4" w:uiPriority="99" w:unhideWhenUsed="0" w:qFormat="1"/>
    <w:lsdException w:name="toc 5" w:uiPriority="99" w:unhideWhenUsed="0" w:qFormat="1"/>
    <w:lsdException w:name="toc 6" w:uiPriority="99" w:unhideWhenUsed="0" w:qFormat="1"/>
    <w:lsdException w:name="toc 7" w:uiPriority="99" w:unhideWhenUsed="0" w:qFormat="1"/>
    <w:lsdException w:name="toc 8" w:uiPriority="39" w:semiHidden="0" w:unhideWhenUsed="0" w:qFormat="1"/>
    <w:lsdException w:name="toc 9" w:uiPriority="99" w:unhideWhenUsed="0" w:qFormat="1"/>
    <w:lsdException w:name="Normal Indent" w:locked="1" w:uiPriority="99"/>
    <w:lsdException w:name="footnote text" w:locked="1" w:uiPriority="99" w:semiHidden="0" w:qFormat="1"/>
    <w:lsdException w:name="annotation text" w:uiPriority="99" w:semiHidden="0" w:unhideWhenUsed="0" w:qFormat="1"/>
    <w:lsdException w:name="header" w:uiPriority="0" w:semiHidden="0" w:unhideWhenUsed="0" w:qFormat="1"/>
    <w:lsdException w:name="footer" w:uiPriority="99" w:semiHidden="0" w:unhideWhenUsed="0" w:qFormat="1"/>
    <w:lsdException w:name="index heading" w:locked="1" w:uiPriority="99"/>
    <w:lsdException w:name="caption" w:locked="1" w:uiPriority="0" w:semiHidden="0" w:unhideWhenUsed="0" w:qFormat="1"/>
    <w:lsdException w:name="table of figures" w:locked="1" w:uiPriority="99"/>
    <w:lsdException w:name="envelope address" w:locked="1" w:uiPriority="99"/>
    <w:lsdException w:name="envelope return" w:locked="1" w:uiPriority="99"/>
    <w:lsdException w:name="footnote reference" w:locked="1" w:uiPriority="99" w:semiHidden="0" w:qFormat="1"/>
    <w:lsdException w:name="annotation reference" w:uiPriority="99" w:semiHidden="0" w:unhideWhenUsed="0" w:qFormat="1"/>
    <w:lsdException w:name="line number" w:locked="1" w:uiPriority="99"/>
    <w:lsdException w:name="page number" w:uiPriority="0" w:semiHidden="0" w:unhideWhenUsed="0" w:qFormat="1"/>
    <w:lsdException w:name="endnote reference" w:locked="1" w:uiPriority="99"/>
    <w:lsdException w:name="endnote text" w:locked="1" w:uiPriority="99"/>
    <w:lsdException w:name="table of authorities" w:locked="1" w:uiPriority="99"/>
    <w:lsdException w:name="macro" w:locked="1" w:uiPriority="99"/>
    <w:lsdException w:name="toa heading" w:locked="1" w:uiPriority="99"/>
    <w:lsdException w:name="List" w:locked="1" w:uiPriority="0" w:semiHidden="0" w:unhideWhenUsed="0" w:qFormat="1"/>
    <w:lsdException w:name="List Bullet" w:locked="1" w:uiPriority="99"/>
    <w:lsdException w:name="List Number" w:locked="1" w:uiPriority="99"/>
    <w:lsdException w:name="List 2" w:locked="1" w:uiPriority="99"/>
    <w:lsdException w:name="List 3" w:locked="1" w:uiPriority="99"/>
    <w:lsdException w:name="List 4" w:locked="1" w:uiPriority="99"/>
    <w:lsdException w:name="List 5" w:locked="1" w:uiPriority="99"/>
    <w:lsdException w:name="List Bullet 2" w:locked="1" w:uiPriority="99" w:semiHidden="0" w:qFormat="1"/>
    <w:lsdException w:name="List Bullet 3" w:locked="1" w:uiPriority="99"/>
    <w:lsdException w:name="List Bullet 4" w:locked="1" w:uiPriority="99"/>
    <w:lsdException w:name="List Bullet 5" w:locked="1" w:uiPriority="99"/>
    <w:lsdException w:name="List Number 2" w:locked="1" w:uiPriority="99"/>
    <w:lsdException w:name="List Number 3" w:locked="1" w:uiPriority="99"/>
    <w:lsdException w:name="List Number 4" w:locked="1" w:uiPriority="99"/>
    <w:lsdException w:name="List Number 5" w:locked="1" w:uiPriority="99"/>
    <w:lsdException w:name="Title" w:uiPriority="0" w:semiHidden="0" w:unhideWhenUsed="0" w:qFormat="1"/>
    <w:lsdException w:name="Closing" w:locked="1" w:uiPriority="99"/>
    <w:lsdException w:name="Signature" w:locked="1" w:uiPriority="99"/>
    <w:lsdException w:name="Default Paragraph Font" w:uiPriority="1"/>
    <w:lsdException w:name="Body Text" w:uiPriority="99" w:semiHidden="0" w:unhideWhenUsed="0" w:qFormat="1"/>
    <w:lsdException w:name="Body Text Indent" w:uiPriority="99" w:semiHidden="0" w:unhideWhenUsed="0" w:qFormat="1"/>
    <w:lsdException w:name="List Continue" w:locked="1" w:uiPriority="99"/>
    <w:lsdException w:name="List Continue 2" w:locked="1" w:uiPriority="99"/>
    <w:lsdException w:name="List Continue 3" w:locked="1" w:uiPriority="99"/>
    <w:lsdException w:name="List Continue 4" w:locked="1" w:uiPriority="99"/>
    <w:lsdException w:name="List Continue 5" w:locked="1" w:uiPriority="99"/>
    <w:lsdException w:name="Message Header" w:locked="1" w:uiPriority="99"/>
    <w:lsdException w:name="Subtitle" w:uiPriority="99" w:semiHidden="0" w:unhideWhenUsed="0" w:qFormat="1"/>
    <w:lsdException w:name="Salutation" w:locked="1" w:uiPriority="99"/>
    <w:lsdException w:name="Date" w:locked="1" w:uiPriority="99"/>
    <w:lsdException w:name="Body Text First Indent" w:locked="1" w:uiPriority="99"/>
    <w:lsdException w:name="Body Text First Indent 2" w:locked="1" w:uiPriority="99"/>
    <w:lsdException w:name="Note Heading" w:locked="1" w:uiPriority="99"/>
    <w:lsdException w:name="Body Text 2" w:uiPriority="99" w:semiHidden="0" w:unhideWhenUsed="0" w:qFormat="1"/>
    <w:lsdException w:name="Body Text 3" w:locked="1" w:uiPriority="99" w:semiHidden="0" w:unhideWhenUsed="0" w:qFormat="1"/>
    <w:lsdException w:name="Body Text Indent 2" w:uiPriority="99" w:semiHidden="0" w:unhideWhenUsed="0" w:qFormat="1"/>
    <w:lsdException w:name="Body Text Indent 3" w:uiPriority="99" w:semiHidden="0" w:unhideWhenUsed="0" w:qFormat="1"/>
    <w:lsdException w:name="Block Text" w:locked="1" w:uiPriority="0" w:semiHidden="0" w:unhideWhenUsed="0"/>
    <w:lsdException w:name="Hyperlink" w:uiPriority="99" w:semiHidden="0" w:unhideWhenUsed="0" w:qFormat="1"/>
    <w:lsdException w:name="FollowedHyperlink" w:uiPriority="99" w:semiHidden="0" w:unhideWhenUsed="0" w:qFormat="1"/>
    <w:lsdException w:name="Strong" w:locked="1" w:uiPriority="22" w:semiHidden="0" w:unhideWhenUsed="0" w:qFormat="1"/>
    <w:lsdException w:name="Emphasis" w:locked="1" w:uiPriority="20" w:semiHidden="0" w:unhideWhenUsed="0" w:qFormat="1"/>
    <w:lsdException w:name="Document Map" w:locked="1" w:uiPriority="0" w:unhideWhenUsed="0" w:qFormat="1"/>
    <w:lsdException w:name="Plain Text" w:locked="1" w:uiPriority="99"/>
    <w:lsdException w:name="E-mail Signature" w:locked="1" w:uiPriority="99"/>
    <w:lsdException w:name="Normal (Web)" w:uiPriority="99" w:semiHidden="0" w:unhideWhenUsed="0" w:qFormat="1"/>
    <w:lsdException w:name="HTML Acronym" w:locked="1" w:uiPriority="99"/>
    <w:lsdException w:name="HTML Address" w:locked="1" w:uiPriority="99"/>
    <w:lsdException w:name="HTML Cite" w:locked="1" w:uiPriority="99"/>
    <w:lsdException w:name="HTML Code" w:locked="1" w:uiPriority="99"/>
    <w:lsdException w:name="HTML Definition" w:locked="1" w:uiPriority="99"/>
    <w:lsdException w:name="HTML Keyboard" w:locked="1" w:uiPriority="99"/>
    <w:lsdException w:name="HTML Preformatted" w:locked="1" w:uiPriority="99" w:semiHidden="0" w:qFormat="1"/>
    <w:lsdException w:name="HTML Sample" w:locked="1" w:uiPriority="99"/>
    <w:lsdException w:name="HTML Typewriter" w:locked="1" w:uiPriority="99"/>
    <w:lsdException w:name="HTML Variable" w:locked="1" w:uiPriority="99"/>
    <w:lsdException w:name="Normal Table" w:uiPriority="99" w:qFormat="1"/>
    <w:lsdException w:name="annotation subject" w:uiPriority="99" w:unhideWhenUsed="0" w:qFormat="1"/>
    <w:lsdException w:name="Table Simple 1" w:locked="1" w:uiPriority="99"/>
    <w:lsdException w:name="Table Simple 2" w:locked="1" w:uiPriority="99"/>
    <w:lsdException w:name="Table Simple 3" w:locked="1" w:uiPriority="99"/>
    <w:lsdException w:name="Table Classic 1" w:locked="1" w:uiPriority="99"/>
    <w:lsdException w:name="Table Classic 2" w:locked="1" w:uiPriority="99"/>
    <w:lsdException w:name="Table Classic 3" w:locked="1" w:uiPriority="99"/>
    <w:lsdException w:name="Table Classic 4" w:locked="1" w:uiPriority="99"/>
    <w:lsdException w:name="Table Colorful 1" w:locked="1" w:uiPriority="99"/>
    <w:lsdException w:name="Table Colorful 2" w:locked="1" w:uiPriority="99"/>
    <w:lsdException w:name="Table Colorful 3" w:locked="1" w:uiPriority="99"/>
    <w:lsdException w:name="Table Columns 1" w:locked="1" w:uiPriority="99"/>
    <w:lsdException w:name="Table Columns 2" w:locked="1" w:uiPriority="99"/>
    <w:lsdException w:name="Table Columns 3" w:locked="1" w:uiPriority="99"/>
    <w:lsdException w:name="Table Columns 4" w:locked="1" w:uiPriority="99"/>
    <w:lsdException w:name="Table Columns 5" w:locked="1" w:uiPriority="99"/>
    <w:lsdException w:name="Table Grid 1" w:locked="1" w:uiPriority="99"/>
    <w:lsdException w:name="Table Grid 2" w:locked="1" w:uiPriority="99"/>
    <w:lsdException w:name="Table Grid 3" w:locked="1" w:uiPriority="99"/>
    <w:lsdException w:name="Table Grid 4" w:locked="1" w:uiPriority="99"/>
    <w:lsdException w:name="Table Grid 5" w:locked="1" w:uiPriority="99"/>
    <w:lsdException w:name="Table Grid 6" w:locked="1" w:uiPriority="99"/>
    <w:lsdException w:name="Table Grid 7" w:locked="1" w:uiPriority="99"/>
    <w:lsdException w:name="Table Grid 8" w:locked="1" w:uiPriority="99"/>
    <w:lsdException w:name="Table List 1" w:locked="1" w:uiPriority="99"/>
    <w:lsdException w:name="Table List 2" w:locked="1" w:uiPriority="99"/>
    <w:lsdException w:name="Table List 3" w:locked="1" w:uiPriority="99"/>
    <w:lsdException w:name="Table List 4" w:locked="1" w:uiPriority="99"/>
    <w:lsdException w:name="Table List 5" w:locked="1" w:uiPriority="99"/>
    <w:lsdException w:name="Table List 6" w:locked="1" w:uiPriority="99"/>
    <w:lsdException w:name="Table List 7" w:locked="1" w:uiPriority="99"/>
    <w:lsdException w:name="Table List 8" w:locked="1" w:uiPriority="99"/>
    <w:lsdException w:name="Table 3D effects 1" w:locked="1" w:uiPriority="99"/>
    <w:lsdException w:name="Table 3D effects 2" w:locked="1" w:uiPriority="99"/>
    <w:lsdException w:name="Table 3D effects 3" w:locked="1" w:uiPriority="99"/>
    <w:lsdException w:name="Table Contemporary" w:locked="1" w:uiPriority="99"/>
    <w:lsdException w:name="Table Elegant" w:locked="1" w:uiPriority="99"/>
    <w:lsdException w:name="Table Professional" w:locked="1" w:uiPriority="99"/>
    <w:lsdException w:name="Table Subtle 1" w:locked="1" w:uiPriority="99"/>
    <w:lsdException w:name="Table Subtle 2" w:locked="1" w:uiPriority="99"/>
    <w:lsdException w:name="Table Web 1" w:locked="1" w:uiPriority="99"/>
    <w:lsdException w:name="Table Web 2" w:locked="1" w:uiPriority="99"/>
    <w:lsdException w:name="Table Web 3" w:locked="1" w:uiPriority="99"/>
    <w:lsdException w:name="Balloon Text" w:uiPriority="99" w:unhideWhenUsed="0" w:qFormat="1"/>
    <w:lsdException w:name="Table Grid" w:locked="1" w:uiPriority="59" w:semiHidden="0" w:unhideWhenUsed="0" w:qFormat="1"/>
    <w:lsdException w:name="Table Theme" w:locked="1" w:uiPriority="99"/>
    <w:lsdException w:name="Placeholder Text" w:uiPriority="99" w:unhideWhenUsed="0" w:qFormat="1"/>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bidi w:val="0"/>
      <w:spacing w:before="0" w:after="0"/>
      <w:ind w:left="284" w:right="-284" w:hanging="0"/>
      <w:jc w:val="left"/>
    </w:pPr>
    <w:rPr>
      <w:rFonts w:ascii="Times New Roman" w:hAnsi="Times New Roman" w:eastAsia="Times New Roman" w:cs="Times New Roman"/>
      <w:color w:val="auto"/>
      <w:kern w:val="0"/>
      <w:sz w:val="28"/>
      <w:szCs w:val="24"/>
      <w:lang w:val="lv-LV" w:eastAsia="en-US" w:bidi="ar-SA"/>
    </w:rPr>
  </w:style>
  <w:style w:type="paragraph" w:styleId="Virsraksts1">
    <w:name w:val="Heading 1"/>
    <w:basedOn w:val="Normal"/>
    <w:next w:val="Normal"/>
    <w:link w:val="Heading1Char"/>
    <w:uiPriority w:val="99"/>
    <w:qFormat/>
    <w:pPr>
      <w:keepNext w:val="true"/>
      <w:numPr>
        <w:ilvl w:val="0"/>
        <w:numId w:val="1"/>
      </w:numPr>
      <w:tabs>
        <w:tab w:val="clear" w:pos="851"/>
        <w:tab w:val="left" w:pos="567" w:leader="none"/>
      </w:tabs>
      <w:jc w:val="both"/>
      <w:outlineLvl w:val="0"/>
    </w:pPr>
    <w:rPr>
      <w:b/>
      <w:sz w:val="32"/>
    </w:rPr>
  </w:style>
  <w:style w:type="paragraph" w:styleId="Virsraksts2">
    <w:name w:val="Heading 2"/>
    <w:basedOn w:val="Normal"/>
    <w:next w:val="Normal"/>
    <w:link w:val="Heading2Char"/>
    <w:uiPriority w:val="99"/>
    <w:qFormat/>
    <w:pPr>
      <w:keepNext w:val="true"/>
      <w:numPr>
        <w:ilvl w:val="1"/>
        <w:numId w:val="1"/>
      </w:numPr>
      <w:tabs>
        <w:tab w:val="clear" w:pos="851"/>
        <w:tab w:val="left" w:pos="567" w:leader="none"/>
      </w:tabs>
      <w:jc w:val="both"/>
      <w:outlineLvl w:val="1"/>
    </w:pPr>
    <w:rPr>
      <w:b/>
      <w:sz w:val="24"/>
    </w:rPr>
  </w:style>
  <w:style w:type="paragraph" w:styleId="Virsraksts3">
    <w:name w:val="Heading 3"/>
    <w:basedOn w:val="Virsraksts2"/>
    <w:next w:val="Normal"/>
    <w:link w:val="Heading3Char"/>
    <w:uiPriority w:val="99"/>
    <w:qFormat/>
    <w:pPr>
      <w:numPr>
        <w:ilvl w:val="2"/>
        <w:numId w:val="1"/>
      </w:numPr>
      <w:outlineLvl w:val="2"/>
    </w:pPr>
    <w:rPr>
      <w:b w:val="false"/>
    </w:rPr>
  </w:style>
  <w:style w:type="paragraph" w:styleId="Virsraksts4">
    <w:name w:val="Heading 4"/>
    <w:basedOn w:val="Virsraksts3"/>
    <w:next w:val="Normal"/>
    <w:link w:val="Heading4Char"/>
    <w:uiPriority w:val="99"/>
    <w:qFormat/>
    <w:pPr>
      <w:numPr>
        <w:ilvl w:val="3"/>
        <w:numId w:val="1"/>
      </w:numPr>
      <w:outlineLvl w:val="3"/>
    </w:pPr>
    <w:rPr>
      <w:iCs/>
    </w:rPr>
  </w:style>
  <w:style w:type="paragraph" w:styleId="Virsraksts5">
    <w:name w:val="Heading 5"/>
    <w:basedOn w:val="Normal"/>
    <w:next w:val="Normal"/>
    <w:link w:val="Heading5Char"/>
    <w:uiPriority w:val="99"/>
    <w:qFormat/>
    <w:pPr>
      <w:keepNext w:val="true"/>
      <w:numPr>
        <w:ilvl w:val="4"/>
        <w:numId w:val="1"/>
      </w:numPr>
      <w:jc w:val="both"/>
      <w:outlineLvl w:val="4"/>
    </w:pPr>
    <w:rPr>
      <w:b/>
      <w:bCs/>
      <w:i/>
      <w:iCs/>
    </w:rPr>
  </w:style>
  <w:style w:type="paragraph" w:styleId="Virsraksts6">
    <w:name w:val="Heading 6"/>
    <w:basedOn w:val="Normal"/>
    <w:next w:val="Normal"/>
    <w:link w:val="Heading6Char"/>
    <w:uiPriority w:val="99"/>
    <w:qFormat/>
    <w:pPr>
      <w:keepNext w:val="true"/>
      <w:numPr>
        <w:ilvl w:val="5"/>
        <w:numId w:val="1"/>
      </w:numPr>
      <w:outlineLvl w:val="5"/>
    </w:pPr>
    <w:rPr>
      <w:b/>
      <w:bCs/>
      <w:i/>
      <w:iCs/>
    </w:rPr>
  </w:style>
  <w:style w:type="paragraph" w:styleId="Virsraksts7">
    <w:name w:val="Heading 7"/>
    <w:basedOn w:val="Normal"/>
    <w:next w:val="Normal"/>
    <w:link w:val="Heading7Char"/>
    <w:uiPriority w:val="99"/>
    <w:qFormat/>
    <w:pPr>
      <w:keepNext w:val="true"/>
      <w:numPr>
        <w:ilvl w:val="6"/>
        <w:numId w:val="1"/>
      </w:numPr>
      <w:jc w:val="both"/>
      <w:outlineLvl w:val="6"/>
    </w:pPr>
    <w:rPr/>
  </w:style>
  <w:style w:type="paragraph" w:styleId="Virsraksts8">
    <w:name w:val="Heading 8"/>
    <w:basedOn w:val="Normal"/>
    <w:next w:val="Normal"/>
    <w:link w:val="Heading8Char"/>
    <w:uiPriority w:val="99"/>
    <w:qFormat/>
    <w:pPr>
      <w:keepNext w:val="true"/>
      <w:numPr>
        <w:ilvl w:val="7"/>
        <w:numId w:val="1"/>
      </w:numPr>
      <w:jc w:val="both"/>
      <w:outlineLvl w:val="7"/>
    </w:pPr>
    <w:rPr/>
  </w:style>
  <w:style w:type="paragraph" w:styleId="Virsraksts9">
    <w:name w:val="Heading 9"/>
    <w:basedOn w:val="Normal"/>
    <w:next w:val="Normal"/>
    <w:link w:val="Heading9Char"/>
    <w:uiPriority w:val="99"/>
    <w:qFormat/>
    <w:locked/>
    <w:pPr>
      <w:keepNext w:val="true"/>
      <w:numPr>
        <w:ilvl w:val="8"/>
        <w:numId w:val="1"/>
      </w:numPr>
      <w:ind w:left="284" w:right="0" w:hanging="0"/>
      <w:outlineLvl w:val="8"/>
    </w:pPr>
    <w:rPr>
      <w:lang w:val="en-US"/>
    </w:rPr>
  </w:style>
  <w:style w:type="character" w:styleId="DefaultParagraphFont" w:default="1">
    <w:name w:val="Default Paragraph Font"/>
    <w:uiPriority w:val="1"/>
    <w:semiHidden/>
    <w:unhideWhenUsed/>
    <w:qFormat/>
    <w:rPr/>
  </w:style>
  <w:style w:type="character" w:styleId="Annotationreference">
    <w:name w:val="annotation reference"/>
    <w:uiPriority w:val="99"/>
    <w:qFormat/>
    <w:rPr>
      <w:rFonts w:cs="Times New Roman"/>
      <w:sz w:val="16"/>
    </w:rPr>
  </w:style>
  <w:style w:type="character" w:styleId="Uzsvars">
    <w:name w:val="Uzsvars"/>
    <w:uiPriority w:val="20"/>
    <w:qFormat/>
    <w:locked/>
    <w:rPr>
      <w:rFonts w:cs="Times New Roman"/>
      <w:i/>
      <w:iCs/>
    </w:rPr>
  </w:style>
  <w:style w:type="character" w:styleId="Apmekltainternetasaite">
    <w:name w:val="Apmeklēta interneta saite"/>
    <w:uiPriority w:val="99"/>
    <w:qFormat/>
    <w:rPr>
      <w:rFonts w:cs="Times New Roman"/>
      <w:color w:val="800080"/>
      <w:u w:val="single"/>
    </w:rPr>
  </w:style>
  <w:style w:type="character" w:styleId="Vresenkurs">
    <w:name w:val="Vēres enkurs"/>
    <w:rPr>
      <w:vertAlign w:val="superscript"/>
    </w:rPr>
  </w:style>
  <w:style w:type="character" w:styleId="FootnoteCharacters">
    <w:name w:val="Footnote Characters"/>
    <w:uiPriority w:val="99"/>
    <w:unhideWhenUsed/>
    <w:qFormat/>
    <w:locked/>
    <w:rPr>
      <w:vertAlign w:val="superscript"/>
    </w:rPr>
  </w:style>
  <w:style w:type="character" w:styleId="Internetasaite" w:customStyle="1">
    <w:name w:val="Interneta saite"/>
    <w:uiPriority w:val="0"/>
    <w:qFormat/>
    <w:rPr>
      <w:color w:val="000080"/>
      <w:u w:val="single"/>
    </w:rPr>
  </w:style>
  <w:style w:type="character" w:styleId="Pagenumber">
    <w:name w:val="page number"/>
    <w:uiPriority w:val="0"/>
    <w:qFormat/>
    <w:rPr>
      <w:rFonts w:cs="Times New Roman"/>
    </w:rPr>
  </w:style>
  <w:style w:type="character" w:styleId="Heading1Char" w:customStyle="1">
    <w:name w:val="Heading 1 Char"/>
    <w:uiPriority w:val="99"/>
    <w:qFormat/>
    <w:locked/>
    <w:rPr>
      <w:b/>
      <w:sz w:val="32"/>
      <w:szCs w:val="24"/>
      <w:lang w:eastAsia="en-US"/>
    </w:rPr>
  </w:style>
  <w:style w:type="character" w:styleId="Heading2Char" w:customStyle="1">
    <w:name w:val="Heading 2 Char"/>
    <w:uiPriority w:val="99"/>
    <w:qFormat/>
    <w:locked/>
    <w:rPr>
      <w:b/>
      <w:sz w:val="24"/>
      <w:szCs w:val="24"/>
      <w:lang w:eastAsia="en-US"/>
    </w:rPr>
  </w:style>
  <w:style w:type="character" w:styleId="Heading3Char" w:customStyle="1">
    <w:name w:val="Heading 3 Char"/>
    <w:uiPriority w:val="99"/>
    <w:qFormat/>
    <w:locked/>
    <w:rPr>
      <w:sz w:val="24"/>
      <w:szCs w:val="24"/>
      <w:lang w:eastAsia="en-US"/>
    </w:rPr>
  </w:style>
  <w:style w:type="character" w:styleId="Heading4Char" w:customStyle="1">
    <w:name w:val="Heading 4 Char"/>
    <w:uiPriority w:val="99"/>
    <w:qFormat/>
    <w:locked/>
    <w:rPr>
      <w:iCs/>
      <w:sz w:val="24"/>
      <w:szCs w:val="24"/>
      <w:lang w:eastAsia="en-US"/>
    </w:rPr>
  </w:style>
  <w:style w:type="character" w:styleId="Heading5Char" w:customStyle="1">
    <w:name w:val="Heading 5 Char"/>
    <w:uiPriority w:val="99"/>
    <w:qFormat/>
    <w:locked/>
    <w:rPr>
      <w:b/>
      <w:bCs/>
      <w:i/>
      <w:iCs/>
      <w:sz w:val="28"/>
      <w:szCs w:val="24"/>
      <w:lang w:eastAsia="en-US"/>
    </w:rPr>
  </w:style>
  <w:style w:type="character" w:styleId="Heading6Char" w:customStyle="1">
    <w:name w:val="Heading 6 Char"/>
    <w:uiPriority w:val="99"/>
    <w:qFormat/>
    <w:locked/>
    <w:rPr>
      <w:b/>
      <w:bCs/>
      <w:i/>
      <w:iCs/>
      <w:sz w:val="28"/>
      <w:szCs w:val="24"/>
      <w:lang w:eastAsia="en-US"/>
    </w:rPr>
  </w:style>
  <w:style w:type="character" w:styleId="Heading7Char" w:customStyle="1">
    <w:name w:val="Heading 7 Char"/>
    <w:uiPriority w:val="99"/>
    <w:qFormat/>
    <w:locked/>
    <w:rPr>
      <w:sz w:val="28"/>
      <w:szCs w:val="24"/>
      <w:lang w:eastAsia="en-US"/>
    </w:rPr>
  </w:style>
  <w:style w:type="character" w:styleId="Heading8Char" w:customStyle="1">
    <w:name w:val="Heading 8 Char"/>
    <w:uiPriority w:val="99"/>
    <w:qFormat/>
    <w:locked/>
    <w:rPr>
      <w:sz w:val="28"/>
      <w:szCs w:val="24"/>
      <w:lang w:eastAsia="en-US"/>
    </w:rPr>
  </w:style>
  <w:style w:type="character" w:styleId="BalloonTextChar" w:customStyle="1">
    <w:name w:val="Balloon Text Char"/>
    <w:link w:val="BalloonText"/>
    <w:uiPriority w:val="99"/>
    <w:semiHidden/>
    <w:qFormat/>
    <w:locked/>
    <w:rPr>
      <w:rFonts w:cs="Times New Roman"/>
      <w:sz w:val="2"/>
      <w:lang w:eastAsia="en-US"/>
    </w:rPr>
  </w:style>
  <w:style w:type="character" w:styleId="TitleChar" w:customStyle="1">
    <w:name w:val="Title Char"/>
    <w:uiPriority w:val="0"/>
    <w:qFormat/>
    <w:locked/>
    <w:rPr>
      <w:rFonts w:ascii="Cambria" w:hAnsi="Cambria" w:cs="Times New Roman"/>
      <w:b/>
      <w:bCs/>
      <w:kern w:val="2"/>
      <w:sz w:val="32"/>
      <w:szCs w:val="32"/>
      <w:lang w:eastAsia="en-US"/>
    </w:rPr>
  </w:style>
  <w:style w:type="character" w:styleId="SubtitleChar" w:customStyle="1">
    <w:name w:val="Subtitle Char"/>
    <w:uiPriority w:val="99"/>
    <w:qFormat/>
    <w:locked/>
    <w:rPr>
      <w:rFonts w:ascii="Cambria" w:hAnsi="Cambria" w:cs="Times New Roman"/>
      <w:sz w:val="24"/>
      <w:szCs w:val="24"/>
      <w:lang w:eastAsia="en-US"/>
    </w:rPr>
  </w:style>
  <w:style w:type="character" w:styleId="BodyTextIndentChar" w:customStyle="1">
    <w:name w:val="Body Text Indent Char"/>
    <w:uiPriority w:val="99"/>
    <w:qFormat/>
    <w:locked/>
    <w:rPr>
      <w:rFonts w:cs="Times New Roman"/>
      <w:sz w:val="24"/>
      <w:szCs w:val="24"/>
      <w:lang w:eastAsia="en-US"/>
    </w:rPr>
  </w:style>
  <w:style w:type="character" w:styleId="CommentTextChar" w:customStyle="1">
    <w:name w:val="Comment Text Char"/>
    <w:link w:val="Annotationtext"/>
    <w:uiPriority w:val="99"/>
    <w:qFormat/>
    <w:locked/>
    <w:rPr>
      <w:rFonts w:cs="Times New Roman"/>
      <w:lang w:val="lv-LV" w:eastAsia="en-US" w:bidi="ar-SA"/>
    </w:rPr>
  </w:style>
  <w:style w:type="character" w:styleId="BodyTextIndent2Char" w:customStyle="1">
    <w:name w:val="Body Text Indent 2 Char"/>
    <w:link w:val="BodyTextIndent2"/>
    <w:uiPriority w:val="99"/>
    <w:qFormat/>
    <w:locked/>
    <w:rPr>
      <w:rFonts w:cs="Times New Roman"/>
      <w:sz w:val="24"/>
      <w:szCs w:val="24"/>
      <w:lang w:eastAsia="en-US"/>
    </w:rPr>
  </w:style>
  <w:style w:type="character" w:styleId="BodyTextChar" w:customStyle="1">
    <w:name w:val="Body Text Char"/>
    <w:uiPriority w:val="99"/>
    <w:qFormat/>
    <w:locked/>
    <w:rPr>
      <w:rFonts w:cs="Times New Roman"/>
      <w:sz w:val="24"/>
      <w:szCs w:val="24"/>
      <w:lang w:eastAsia="en-US"/>
    </w:rPr>
  </w:style>
  <w:style w:type="character" w:styleId="BodyTextIndent3Char" w:customStyle="1">
    <w:name w:val="Body Text Indent 3 Char"/>
    <w:link w:val="BodyTextIndent3"/>
    <w:uiPriority w:val="99"/>
    <w:qFormat/>
    <w:locked/>
    <w:rPr>
      <w:rFonts w:cs="Times New Roman"/>
      <w:sz w:val="16"/>
      <w:szCs w:val="16"/>
      <w:lang w:eastAsia="en-US"/>
    </w:rPr>
  </w:style>
  <w:style w:type="character" w:styleId="BodyText2Char" w:customStyle="1">
    <w:name w:val="Body Text 2 Char"/>
    <w:link w:val="BodyText2"/>
    <w:uiPriority w:val="99"/>
    <w:qFormat/>
    <w:locked/>
    <w:rPr>
      <w:rFonts w:cs="Times New Roman"/>
      <w:sz w:val="24"/>
      <w:szCs w:val="24"/>
      <w:lang w:eastAsia="en-US"/>
    </w:rPr>
  </w:style>
  <w:style w:type="character" w:styleId="HeaderChar" w:customStyle="1">
    <w:name w:val="Header Char"/>
    <w:uiPriority w:val="0"/>
    <w:qFormat/>
    <w:locked/>
    <w:rPr>
      <w:rFonts w:cs="Times New Roman"/>
      <w:sz w:val="24"/>
      <w:szCs w:val="24"/>
      <w:lang w:eastAsia="en-US"/>
    </w:rPr>
  </w:style>
  <w:style w:type="character" w:styleId="FooterChar" w:customStyle="1">
    <w:name w:val="Footer Char"/>
    <w:uiPriority w:val="99"/>
    <w:qFormat/>
    <w:locked/>
    <w:rPr>
      <w:rFonts w:cs="Times New Roman"/>
      <w:sz w:val="24"/>
      <w:szCs w:val="24"/>
      <w:lang w:eastAsia="en-US"/>
    </w:rPr>
  </w:style>
  <w:style w:type="character" w:styleId="CommentSubjectChar" w:customStyle="1">
    <w:name w:val="Comment Subject Char"/>
    <w:link w:val="Annotationsubject"/>
    <w:uiPriority w:val="99"/>
    <w:semiHidden/>
    <w:qFormat/>
    <w:locked/>
    <w:rPr>
      <w:rFonts w:cs="Times New Roman"/>
      <w:b/>
      <w:bCs/>
      <w:sz w:val="20"/>
      <w:szCs w:val="20"/>
      <w:lang w:val="lv-LV" w:eastAsia="en-US" w:bidi="ar-SA"/>
    </w:rPr>
  </w:style>
  <w:style w:type="character" w:styleId="BodyText3Char" w:customStyle="1">
    <w:name w:val="Body Text 3 Char"/>
    <w:link w:val="BodyText3"/>
    <w:uiPriority w:val="99"/>
    <w:qFormat/>
    <w:rPr>
      <w:sz w:val="16"/>
      <w:szCs w:val="16"/>
      <w:lang w:eastAsia="en-US"/>
    </w:rPr>
  </w:style>
  <w:style w:type="character" w:styleId="FontStyle15" w:customStyle="1">
    <w:name w:val="Font Style15"/>
    <w:uiPriority w:val="99"/>
    <w:qFormat/>
    <w:rPr>
      <w:rFonts w:ascii="Times New Roman" w:hAnsi="Times New Roman" w:cs="Times New Roman"/>
      <w:sz w:val="22"/>
      <w:szCs w:val="22"/>
    </w:rPr>
  </w:style>
  <w:style w:type="character" w:styleId="Normal1Char" w:customStyle="1">
    <w:name w:val="Normal1 Char"/>
    <w:link w:val="Normal1"/>
    <w:uiPriority w:val="99"/>
    <w:qFormat/>
    <w:locked/>
    <w:rPr>
      <w:sz w:val="28"/>
      <w:szCs w:val="28"/>
      <w:lang w:val="en-GB" w:eastAsia="en-US"/>
    </w:rPr>
  </w:style>
  <w:style w:type="character" w:styleId="FootnoteTextChar" w:customStyle="1">
    <w:name w:val="Footnote Text Char"/>
    <w:uiPriority w:val="99"/>
    <w:qFormat/>
    <w:rPr>
      <w:lang w:eastAsia="en-US"/>
    </w:rPr>
  </w:style>
  <w:style w:type="character" w:styleId="ListParagraphChar" w:customStyle="1">
    <w:name w:val="List Paragraph Char"/>
    <w:link w:val="ListParagraph"/>
    <w:uiPriority w:val="34"/>
    <w:qFormat/>
    <w:rPr>
      <w:rFonts w:ascii="Calibri" w:hAnsi="Calibri" w:eastAsia="Calibri"/>
      <w:sz w:val="22"/>
      <w:szCs w:val="22"/>
    </w:rPr>
  </w:style>
  <w:style w:type="character" w:styleId="Heading9Char" w:customStyle="1">
    <w:name w:val="Heading 9 Char"/>
    <w:uiPriority w:val="99"/>
    <w:qFormat/>
    <w:rPr>
      <w:sz w:val="28"/>
      <w:szCs w:val="24"/>
      <w:lang w:val="en-US" w:eastAsia="en-US"/>
    </w:rPr>
  </w:style>
  <w:style w:type="character" w:styleId="Appleconvertedspace" w:customStyle="1">
    <w:name w:val="apple-converted-space"/>
    <w:basedOn w:val="DefaultParagraphFont"/>
    <w:uiPriority w:val="0"/>
    <w:qFormat/>
    <w:rPr/>
  </w:style>
  <w:style w:type="character" w:styleId="DocumentMapChar" w:customStyle="1">
    <w:name w:val="Document Map Char"/>
    <w:link w:val="DocumentMap"/>
    <w:uiPriority w:val="0"/>
    <w:semiHidden/>
    <w:qFormat/>
    <w:rPr>
      <w:rFonts w:ascii="Tahoma" w:hAnsi="Tahoma" w:cs="Tahoma"/>
      <w:shd w:fill="000080" w:val="clear"/>
      <w:lang w:eastAsia="en-US"/>
    </w:rPr>
  </w:style>
  <w:style w:type="character" w:styleId="FontStyle14" w:customStyle="1">
    <w:name w:val="Font Style14"/>
    <w:uiPriority w:val="99"/>
    <w:qFormat/>
    <w:rPr>
      <w:rFonts w:ascii="Times New Roman" w:hAnsi="Times New Roman" w:cs="Times New Roman"/>
      <w:b/>
      <w:bCs/>
      <w:sz w:val="26"/>
      <w:szCs w:val="26"/>
    </w:rPr>
  </w:style>
  <w:style w:type="character" w:styleId="FontStyle16" w:customStyle="1">
    <w:name w:val="Font Style16"/>
    <w:uiPriority w:val="99"/>
    <w:qFormat/>
    <w:rPr>
      <w:rFonts w:ascii="Times New Roman" w:hAnsi="Times New Roman" w:cs="Times New Roman"/>
      <w:i/>
      <w:iCs/>
      <w:sz w:val="22"/>
      <w:szCs w:val="22"/>
    </w:rPr>
  </w:style>
  <w:style w:type="character" w:styleId="Bodytext5" w:customStyle="1">
    <w:name w:val="Body text (5)_"/>
    <w:link w:val="Bodytext51"/>
    <w:uiPriority w:val="0"/>
    <w:qFormat/>
    <w:rPr>
      <w:b/>
      <w:bCs/>
      <w:sz w:val="25"/>
      <w:szCs w:val="25"/>
      <w:shd w:fill="FFFFFF" w:val="clear"/>
    </w:rPr>
  </w:style>
  <w:style w:type="character" w:styleId="PlaceholderText">
    <w:name w:val="Placeholder Text"/>
    <w:uiPriority w:val="99"/>
    <w:semiHidden/>
    <w:qFormat/>
    <w:rPr>
      <w:color w:val="808080"/>
    </w:rPr>
  </w:style>
  <w:style w:type="character" w:styleId="HeaderChar1" w:customStyle="1">
    <w:name w:val="Header Char1"/>
    <w:basedOn w:val="DefaultParagraphFont"/>
    <w:uiPriority w:val="99"/>
    <w:semiHidden/>
    <w:qFormat/>
    <w:rPr/>
  </w:style>
  <w:style w:type="character" w:styleId="FooterChar1" w:customStyle="1">
    <w:name w:val="Footer Char1"/>
    <w:basedOn w:val="DefaultParagraphFont"/>
    <w:uiPriority w:val="99"/>
    <w:semiHidden/>
    <w:qFormat/>
    <w:rPr/>
  </w:style>
  <w:style w:type="character" w:styleId="HeaderChar2" w:customStyle="1">
    <w:name w:val="Header Char2"/>
    <w:uiPriority w:val="0"/>
    <w:qFormat/>
    <w:rPr>
      <w:sz w:val="24"/>
      <w:szCs w:val="24"/>
      <w:lang w:eastAsia="en-US"/>
    </w:rPr>
  </w:style>
  <w:style w:type="character" w:styleId="ListParagraphChar1" w:customStyle="1">
    <w:name w:val="List Paragraph Char1"/>
    <w:uiPriority w:val="34"/>
    <w:qFormat/>
    <w:rPr>
      <w:rFonts w:ascii="Calibri" w:hAnsi="Calibri" w:eastAsia="Times New Roman" w:cs="Times New Roman"/>
      <w:lang w:eastAsia="lv-LV"/>
    </w:rPr>
  </w:style>
  <w:style w:type="character" w:styleId="HTMLPreformattedChar" w:customStyle="1">
    <w:name w:val="HTML Preformatted Char"/>
    <w:link w:val="HTMLPreformatted"/>
    <w:uiPriority w:val="99"/>
    <w:qFormat/>
    <w:rPr>
      <w:rFonts w:ascii="Courier New" w:hAnsi="Courier New" w:cs="Courier New"/>
    </w:rPr>
  </w:style>
  <w:style w:type="character" w:styleId="UnresolvedMention1" w:customStyle="1">
    <w:name w:val="Unresolved Mention1"/>
    <w:uiPriority w:val="99"/>
    <w:semiHidden/>
    <w:unhideWhenUsed/>
    <w:qFormat/>
    <w:rPr>
      <w:color w:val="605E5C"/>
      <w:shd w:fill="E1DFDD" w:val="clear"/>
    </w:rPr>
  </w:style>
  <w:style w:type="character" w:styleId="Tabulas1111Char" w:customStyle="1">
    <w:name w:val="Tabulas 1.1.1.1 Char"/>
    <w:basedOn w:val="DefaultParagraphFont"/>
    <w:link w:val="Tabulas1111"/>
    <w:uiPriority w:val="0"/>
    <w:qFormat/>
    <w:rPr>
      <w:sz w:val="24"/>
      <w:szCs w:val="24"/>
    </w:rPr>
  </w:style>
  <w:style w:type="character" w:styleId="Punkts11Char" w:customStyle="1">
    <w:name w:val="Punkts 1.1 Char"/>
    <w:basedOn w:val="DefaultParagraphFont"/>
    <w:link w:val="Punkts11"/>
    <w:uiPriority w:val="0"/>
    <w:qFormat/>
    <w:rPr>
      <w:bCs/>
      <w:sz w:val="24"/>
      <w:szCs w:val="24"/>
    </w:rPr>
  </w:style>
  <w:style w:type="character" w:styleId="Punkts111Char" w:customStyle="1">
    <w:name w:val="Punkts 1.1.1 Char"/>
    <w:basedOn w:val="DefaultParagraphFont"/>
    <w:link w:val="Punkts111"/>
    <w:uiPriority w:val="0"/>
    <w:qFormat/>
    <w:rPr>
      <w:sz w:val="24"/>
      <w:szCs w:val="24"/>
      <w:lang w:eastAsia="en-US"/>
    </w:rPr>
  </w:style>
  <w:style w:type="paragraph" w:styleId="Virsraksts" w:customStyle="1">
    <w:name w:val="Virsraksts"/>
    <w:basedOn w:val="Normal"/>
    <w:next w:val="TextBody"/>
    <w:uiPriority w:val="0"/>
    <w:qFormat/>
    <w:pPr>
      <w:keepNext w:val="true"/>
      <w:suppressAutoHyphens w:val="true"/>
      <w:spacing w:lineRule="auto" w:line="276" w:before="240" w:after="120"/>
      <w:ind w:left="0" w:right="0" w:hanging="0"/>
    </w:pPr>
    <w:rPr>
      <w:rFonts w:ascii="Liberation Sans" w:hAnsi="Liberation Sans" w:eastAsia="Microsoft YaHei" w:cs="Mangal"/>
      <w:color w:val="00000A"/>
      <w:szCs w:val="28"/>
      <w:lang w:eastAsia="lv-LV"/>
    </w:rPr>
  </w:style>
  <w:style w:type="paragraph" w:styleId="Pamatteksts">
    <w:name w:val="Body Text"/>
    <w:basedOn w:val="Normal"/>
    <w:link w:val="BodyTextChar"/>
    <w:uiPriority w:val="99"/>
    <w:qFormat/>
    <w:pPr>
      <w:jc w:val="both"/>
    </w:pPr>
    <w:rPr>
      <w:sz w:val="24"/>
    </w:rPr>
  </w:style>
  <w:style w:type="paragraph" w:styleId="Saraksts">
    <w:name w:val="List"/>
    <w:basedOn w:val="TextBody"/>
    <w:uiPriority w:val="0"/>
    <w:qFormat/>
    <w:locked/>
    <w:pPr/>
    <w:rPr>
      <w:rFonts w:cs="Mangal"/>
    </w:rPr>
  </w:style>
  <w:style w:type="paragraph" w:styleId="Parakstsobjektam">
    <w:name w:val="Caption"/>
    <w:basedOn w:val="Normal"/>
    <w:qFormat/>
    <w:pPr>
      <w:suppressLineNumbers/>
      <w:spacing w:before="120" w:after="120"/>
    </w:pPr>
    <w:rPr>
      <w:rFonts w:cs="Arial"/>
      <w:i/>
      <w:iCs/>
      <w:sz w:val="24"/>
      <w:szCs w:val="24"/>
    </w:rPr>
  </w:style>
  <w:style w:type="paragraph" w:styleId="Rdtjs" w:customStyle="1">
    <w:name w:val="Rādītājs"/>
    <w:basedOn w:val="Normal"/>
    <w:uiPriority w:val="0"/>
    <w:qFormat/>
    <w:pPr>
      <w:suppressLineNumbers/>
      <w:suppressAutoHyphens w:val="true"/>
      <w:spacing w:lineRule="auto" w:line="276" w:before="0" w:after="200"/>
      <w:ind w:left="0" w:right="0" w:hanging="0"/>
    </w:pPr>
    <w:rPr>
      <w:rFonts w:ascii="Calibri" w:hAnsi="Calibri" w:cs="Mangal"/>
      <w:color w:val="00000A"/>
      <w:sz w:val="22"/>
      <w:szCs w:val="22"/>
      <w:lang w:eastAsia="lv-LV"/>
    </w:rPr>
  </w:style>
  <w:style w:type="paragraph" w:styleId="BalloonText">
    <w:name w:val="Balloon Text"/>
    <w:basedOn w:val="Normal"/>
    <w:link w:val="BalloonTextChar"/>
    <w:uiPriority w:val="99"/>
    <w:semiHidden/>
    <w:qFormat/>
    <w:pPr/>
    <w:rPr>
      <w:sz w:val="2"/>
      <w:szCs w:val="20"/>
    </w:rPr>
  </w:style>
  <w:style w:type="paragraph" w:styleId="BlockText">
    <w:name w:val="Block Text"/>
    <w:basedOn w:val="Normal"/>
    <w:uiPriority w:val="0"/>
    <w:qFormat/>
    <w:locked/>
    <w:pPr>
      <w:ind w:left="9498" w:right="-1" w:hanging="0"/>
      <w:jc w:val="right"/>
    </w:pPr>
    <w:rPr>
      <w:sz w:val="24"/>
      <w:szCs w:val="20"/>
    </w:rPr>
  </w:style>
  <w:style w:type="paragraph" w:styleId="BodyText2">
    <w:name w:val="Body Text 2"/>
    <w:basedOn w:val="Normal"/>
    <w:link w:val="BodyText2Char"/>
    <w:uiPriority w:val="99"/>
    <w:qFormat/>
    <w:pPr>
      <w:jc w:val="both"/>
    </w:pPr>
    <w:rPr>
      <w:sz w:val="24"/>
    </w:rPr>
  </w:style>
  <w:style w:type="paragraph" w:styleId="BodyText3">
    <w:name w:val="Body Text 3"/>
    <w:basedOn w:val="Normal"/>
    <w:link w:val="BodyText3Char"/>
    <w:uiPriority w:val="99"/>
    <w:qFormat/>
    <w:locked/>
    <w:pPr>
      <w:spacing w:before="0" w:after="120"/>
      <w:ind w:left="0" w:right="0" w:hanging="0"/>
    </w:pPr>
    <w:rPr>
      <w:sz w:val="16"/>
      <w:szCs w:val="16"/>
    </w:rPr>
  </w:style>
  <w:style w:type="paragraph" w:styleId="Pamattekstaatkpe">
    <w:name w:val="Body Text Indent"/>
    <w:basedOn w:val="Normal"/>
    <w:link w:val="BodyTextIndentChar"/>
    <w:uiPriority w:val="99"/>
    <w:qFormat/>
    <w:pPr>
      <w:ind w:left="284" w:right="-284" w:firstLine="426"/>
      <w:jc w:val="both"/>
    </w:pPr>
    <w:rPr>
      <w:sz w:val="24"/>
    </w:rPr>
  </w:style>
  <w:style w:type="paragraph" w:styleId="BodyTextIndent2">
    <w:name w:val="Body Text Indent 2"/>
    <w:basedOn w:val="Normal"/>
    <w:link w:val="BodyTextIndent2Char"/>
    <w:uiPriority w:val="99"/>
    <w:qFormat/>
    <w:pPr>
      <w:ind w:left="426" w:right="-284" w:hanging="0"/>
      <w:jc w:val="both"/>
    </w:pPr>
    <w:rPr>
      <w:sz w:val="24"/>
    </w:rPr>
  </w:style>
  <w:style w:type="paragraph" w:styleId="BodyTextIndent3">
    <w:name w:val="Body Text Indent 3"/>
    <w:basedOn w:val="Normal"/>
    <w:link w:val="BodyTextIndent3Char"/>
    <w:uiPriority w:val="99"/>
    <w:qFormat/>
    <w:pPr>
      <w:ind w:left="284" w:right="-284" w:firstLine="360"/>
      <w:jc w:val="both"/>
    </w:pPr>
    <w:rPr>
      <w:sz w:val="16"/>
      <w:szCs w:val="16"/>
    </w:rPr>
  </w:style>
  <w:style w:type="paragraph" w:styleId="Caption">
    <w:name w:val="caption"/>
    <w:basedOn w:val="Normal"/>
    <w:next w:val="Normal"/>
    <w:uiPriority w:val="0"/>
    <w:qFormat/>
    <w:locked/>
    <w:pPr>
      <w:suppressLineNumbers/>
      <w:suppressAutoHyphens w:val="true"/>
      <w:spacing w:lineRule="auto" w:line="276" w:before="120" w:after="120"/>
      <w:ind w:left="0" w:right="0" w:hanging="0"/>
    </w:pPr>
    <w:rPr>
      <w:rFonts w:ascii="Calibri" w:hAnsi="Calibri" w:cs="Mangal"/>
      <w:i/>
      <w:iCs/>
      <w:color w:val="00000A"/>
      <w:sz w:val="24"/>
      <w:lang w:eastAsia="lv-LV"/>
    </w:rPr>
  </w:style>
  <w:style w:type="paragraph" w:styleId="Annotationtext">
    <w:name w:val="annotation text"/>
    <w:basedOn w:val="Normal"/>
    <w:link w:val="CommentTextChar"/>
    <w:uiPriority w:val="99"/>
    <w:qFormat/>
    <w:pPr>
      <w:jc w:val="both"/>
    </w:pPr>
    <w:rPr>
      <w:sz w:val="20"/>
      <w:szCs w:val="20"/>
    </w:rPr>
  </w:style>
  <w:style w:type="paragraph" w:styleId="Annotationsubject">
    <w:name w:val="annotation subject"/>
    <w:basedOn w:val="Annotationtext"/>
    <w:next w:val="Annotationtext"/>
    <w:link w:val="CommentSubjectChar"/>
    <w:uiPriority w:val="99"/>
    <w:semiHidden/>
    <w:qFormat/>
    <w:pPr>
      <w:jc w:val="left"/>
    </w:pPr>
    <w:rPr>
      <w:b/>
      <w:bCs/>
    </w:rPr>
  </w:style>
  <w:style w:type="paragraph" w:styleId="DocumentMap">
    <w:name w:val="Document Map"/>
    <w:basedOn w:val="Normal"/>
    <w:link w:val="DocumentMapChar"/>
    <w:uiPriority w:val="0"/>
    <w:semiHidden/>
    <w:qFormat/>
    <w:locked/>
    <w:pPr>
      <w:shd w:val="clear" w:color="auto" w:fill="000080"/>
      <w:ind w:left="0" w:right="0" w:hanging="0"/>
    </w:pPr>
    <w:rPr>
      <w:rFonts w:ascii="Tahoma" w:hAnsi="Tahoma"/>
      <w:sz w:val="20"/>
      <w:szCs w:val="20"/>
    </w:rPr>
  </w:style>
  <w:style w:type="paragraph" w:styleId="Galveneunkjene">
    <w:name w:val="Galvene un kājene"/>
    <w:basedOn w:val="Normal"/>
    <w:qFormat/>
    <w:pPr/>
    <w:rPr/>
  </w:style>
  <w:style w:type="paragraph" w:styleId="Kjene">
    <w:name w:val="Footer"/>
    <w:basedOn w:val="Normal"/>
    <w:link w:val="FooterChar"/>
    <w:uiPriority w:val="99"/>
    <w:qFormat/>
    <w:pPr>
      <w:tabs>
        <w:tab w:val="clear" w:pos="851"/>
        <w:tab w:val="center" w:pos="4153" w:leader="none"/>
        <w:tab w:val="right" w:pos="8306" w:leader="none"/>
      </w:tabs>
    </w:pPr>
    <w:rPr>
      <w:sz w:val="24"/>
    </w:rPr>
  </w:style>
  <w:style w:type="paragraph" w:styleId="Vre">
    <w:name w:val="Footnote Text"/>
    <w:basedOn w:val="Normal"/>
    <w:link w:val="FootnoteTextChar"/>
    <w:uiPriority w:val="99"/>
    <w:unhideWhenUsed/>
    <w:qFormat/>
    <w:locked/>
    <w:pPr/>
    <w:rPr>
      <w:sz w:val="20"/>
      <w:szCs w:val="20"/>
    </w:rPr>
  </w:style>
  <w:style w:type="paragraph" w:styleId="Galvene">
    <w:name w:val="Header"/>
    <w:basedOn w:val="Normal"/>
    <w:link w:val="HeaderChar"/>
    <w:uiPriority w:val="0"/>
    <w:qFormat/>
    <w:pPr>
      <w:tabs>
        <w:tab w:val="clear" w:pos="851"/>
        <w:tab w:val="center" w:pos="4153" w:leader="none"/>
        <w:tab w:val="right" w:pos="8306" w:leader="none"/>
      </w:tabs>
    </w:pPr>
    <w:rPr>
      <w:sz w:val="24"/>
    </w:rPr>
  </w:style>
  <w:style w:type="paragraph" w:styleId="HTMLPreformatted">
    <w:name w:val="HTML Preformatted"/>
    <w:basedOn w:val="Normal"/>
    <w:link w:val="HTMLPreformattedChar"/>
    <w:uiPriority w:val="99"/>
    <w:unhideWhenUsed/>
    <w:qFormat/>
    <w:locked/>
    <w:pPr>
      <w:tabs>
        <w:tab w:val="clear" w:pos="851"/>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0" w:right="0" w:hanging="0"/>
    </w:pPr>
    <w:rPr>
      <w:rFonts w:ascii="Courier New" w:hAnsi="Courier New"/>
      <w:sz w:val="20"/>
      <w:szCs w:val="20"/>
    </w:rPr>
  </w:style>
  <w:style w:type="paragraph" w:styleId="TextBody" w:customStyle="1">
    <w:name w:val="Text Body"/>
    <w:basedOn w:val="Normal"/>
    <w:uiPriority w:val="0"/>
    <w:qFormat/>
    <w:pPr>
      <w:suppressAutoHyphens w:val="true"/>
      <w:spacing w:lineRule="auto" w:line="288" w:before="0" w:after="140"/>
      <w:ind w:left="0" w:right="0" w:hanging="0"/>
    </w:pPr>
    <w:rPr>
      <w:rFonts w:ascii="Calibri" w:hAnsi="Calibri"/>
      <w:color w:val="00000A"/>
      <w:sz w:val="22"/>
      <w:szCs w:val="22"/>
      <w:lang w:eastAsia="lv-LV"/>
    </w:rPr>
  </w:style>
  <w:style w:type="paragraph" w:styleId="ListBullet2">
    <w:name w:val="List Bullet 2"/>
    <w:basedOn w:val="Normal"/>
    <w:uiPriority w:val="99"/>
    <w:unhideWhenUsed/>
    <w:qFormat/>
    <w:locked/>
    <w:pPr>
      <w:numPr>
        <w:ilvl w:val="0"/>
        <w:numId w:val="2"/>
      </w:numPr>
      <w:spacing w:before="0" w:after="0"/>
      <w:ind w:left="284" w:right="0" w:hanging="0"/>
      <w:contextualSpacing/>
    </w:pPr>
    <w:rPr>
      <w:rFonts w:ascii="Arial Unicode MS" w:hAnsi="Arial Unicode MS" w:eastAsia="Arial Unicode MS" w:cs="Arial Unicode MS"/>
      <w:color w:val="000000"/>
      <w:sz w:val="24"/>
      <w:lang w:eastAsia="lv-LV"/>
    </w:rPr>
  </w:style>
  <w:style w:type="paragraph" w:styleId="NormalWeb">
    <w:name w:val="Normal (Web)"/>
    <w:basedOn w:val="Normal"/>
    <w:uiPriority w:val="99"/>
    <w:qFormat/>
    <w:pPr>
      <w:spacing w:beforeAutospacing="1" w:afterAutospacing="1"/>
    </w:pPr>
    <w:rPr>
      <w:rFonts w:ascii="Arial Unicode MS" w:hAnsi="Arial Unicode MS"/>
      <w:sz w:val="24"/>
      <w:lang w:val="en-GB"/>
    </w:rPr>
  </w:style>
  <w:style w:type="paragraph" w:styleId="Dokumentaapakvirsraksts">
    <w:name w:val="Subtitle"/>
    <w:basedOn w:val="Normal"/>
    <w:link w:val="SubtitleChar"/>
    <w:uiPriority w:val="99"/>
    <w:qFormat/>
    <w:pPr>
      <w:jc w:val="center"/>
    </w:pPr>
    <w:rPr>
      <w:rFonts w:ascii="Cambria" w:hAnsi="Cambria"/>
      <w:sz w:val="24"/>
    </w:rPr>
  </w:style>
  <w:style w:type="paragraph" w:styleId="Nosaukums">
    <w:name w:val="Title"/>
    <w:basedOn w:val="Normal"/>
    <w:link w:val="TitleChar"/>
    <w:uiPriority w:val="0"/>
    <w:qFormat/>
    <w:pPr>
      <w:jc w:val="center"/>
    </w:pPr>
    <w:rPr>
      <w:rFonts w:ascii="Cambria" w:hAnsi="Cambria"/>
      <w:b/>
      <w:bCs/>
      <w:kern w:val="2"/>
      <w:sz w:val="32"/>
      <w:szCs w:val="32"/>
    </w:rPr>
  </w:style>
  <w:style w:type="paragraph" w:styleId="Saturs1">
    <w:name w:val="TOC 1"/>
    <w:basedOn w:val="Normal"/>
    <w:next w:val="Normal"/>
    <w:uiPriority w:val="39"/>
    <w:qFormat/>
    <w:pPr>
      <w:tabs>
        <w:tab w:val="left" w:pos="284" w:leader="none"/>
        <w:tab w:val="left" w:pos="851" w:leader="none"/>
        <w:tab w:val="left" w:pos="1418" w:leader="none"/>
        <w:tab w:val="right" w:pos="9356" w:leader="dot"/>
      </w:tabs>
      <w:ind w:left="0" w:right="-1" w:hanging="0"/>
      <w:jc w:val="both"/>
    </w:pPr>
    <w:rPr>
      <w:b/>
      <w:sz w:val="24"/>
    </w:rPr>
  </w:style>
  <w:style w:type="paragraph" w:styleId="Saturs2">
    <w:name w:val="TOC 2"/>
    <w:basedOn w:val="Normal"/>
    <w:next w:val="Normal"/>
    <w:uiPriority w:val="39"/>
    <w:qFormat/>
    <w:pPr>
      <w:tabs>
        <w:tab w:val="clear" w:pos="851"/>
        <w:tab w:val="left" w:pos="567" w:leader="none"/>
        <w:tab w:val="left" w:pos="1400" w:leader="none"/>
        <w:tab w:val="left" w:pos="1701" w:leader="none"/>
        <w:tab w:val="right" w:pos="9356" w:leader="dot"/>
      </w:tabs>
      <w:ind w:left="1077" w:right="-1" w:hanging="510"/>
      <w:outlineLvl w:val="1"/>
    </w:pPr>
    <w:rPr>
      <w:sz w:val="24"/>
    </w:rPr>
  </w:style>
  <w:style w:type="paragraph" w:styleId="Saturs3">
    <w:name w:val="TOC 3"/>
    <w:basedOn w:val="Normal"/>
    <w:next w:val="Normal"/>
    <w:uiPriority w:val="39"/>
    <w:qFormat/>
    <w:pPr>
      <w:tabs>
        <w:tab w:val="clear" w:pos="851"/>
        <w:tab w:val="right" w:pos="9356" w:leader="dot"/>
      </w:tabs>
      <w:ind w:left="400" w:right="-284" w:hanging="0"/>
    </w:pPr>
    <w:rPr/>
  </w:style>
  <w:style w:type="paragraph" w:styleId="Saturs4">
    <w:name w:val="TOC 4"/>
    <w:basedOn w:val="Normal"/>
    <w:next w:val="Normal"/>
    <w:uiPriority w:val="99"/>
    <w:semiHidden/>
    <w:qFormat/>
    <w:pPr>
      <w:ind w:left="600" w:right="-284" w:hanging="0"/>
    </w:pPr>
    <w:rPr/>
  </w:style>
  <w:style w:type="paragraph" w:styleId="Saturs5">
    <w:name w:val="TOC 5"/>
    <w:basedOn w:val="Normal"/>
    <w:next w:val="Normal"/>
    <w:uiPriority w:val="99"/>
    <w:semiHidden/>
    <w:qFormat/>
    <w:pPr>
      <w:ind w:left="800" w:right="-284" w:hanging="0"/>
    </w:pPr>
    <w:rPr/>
  </w:style>
  <w:style w:type="paragraph" w:styleId="Saturs6">
    <w:name w:val="TOC 6"/>
    <w:basedOn w:val="Normal"/>
    <w:next w:val="Normal"/>
    <w:uiPriority w:val="99"/>
    <w:semiHidden/>
    <w:qFormat/>
    <w:pPr>
      <w:ind w:left="1000" w:right="-284" w:hanging="0"/>
    </w:pPr>
    <w:rPr/>
  </w:style>
  <w:style w:type="paragraph" w:styleId="Saturs7">
    <w:name w:val="TOC 7"/>
    <w:basedOn w:val="Normal"/>
    <w:next w:val="Normal"/>
    <w:uiPriority w:val="99"/>
    <w:semiHidden/>
    <w:qFormat/>
    <w:pPr>
      <w:ind w:left="1200" w:right="-284" w:hanging="0"/>
    </w:pPr>
    <w:rPr/>
  </w:style>
  <w:style w:type="paragraph" w:styleId="Saturs8">
    <w:name w:val="TOC 8"/>
    <w:basedOn w:val="Normal"/>
    <w:next w:val="Normal"/>
    <w:uiPriority w:val="39"/>
    <w:qFormat/>
    <w:pPr>
      <w:ind w:left="1400" w:right="-284" w:hanging="0"/>
    </w:pPr>
    <w:rPr/>
  </w:style>
  <w:style w:type="paragraph" w:styleId="Saturs9">
    <w:name w:val="TOC 9"/>
    <w:basedOn w:val="Normal"/>
    <w:next w:val="Normal"/>
    <w:uiPriority w:val="99"/>
    <w:semiHidden/>
    <w:qFormat/>
    <w:pPr>
      <w:ind w:left="1600" w:right="-284" w:hanging="0"/>
    </w:pPr>
    <w:rPr/>
  </w:style>
  <w:style w:type="paragraph" w:styleId="Normal1" w:customStyle="1">
    <w:name w:val="Normal1"/>
    <w:basedOn w:val="Normal"/>
    <w:link w:val="Normal1Char"/>
    <w:uiPriority w:val="99"/>
    <w:qFormat/>
    <w:pPr>
      <w:tabs>
        <w:tab w:val="clear" w:pos="851"/>
        <w:tab w:val="left" w:pos="545" w:leader="none"/>
      </w:tabs>
      <w:ind w:left="170" w:right="-284" w:hanging="0"/>
      <w:jc w:val="both"/>
    </w:pPr>
    <w:rPr>
      <w:szCs w:val="28"/>
      <w:lang w:val="en-GB"/>
    </w:rPr>
  </w:style>
  <w:style w:type="paragraph" w:styleId="Naisf" w:customStyle="1">
    <w:name w:val="naisf"/>
    <w:basedOn w:val="Normal"/>
    <w:uiPriority w:val="0"/>
    <w:qFormat/>
    <w:pPr>
      <w:spacing w:before="75" w:after="75"/>
      <w:ind w:left="284" w:right="-284" w:firstLine="375"/>
      <w:jc w:val="both"/>
    </w:pPr>
    <w:rPr>
      <w:sz w:val="24"/>
      <w:lang w:eastAsia="lv-LV"/>
    </w:rPr>
  </w:style>
  <w:style w:type="paragraph" w:styleId="NoSpacing">
    <w:name w:val="No Spacing"/>
    <w:uiPriority w:val="1"/>
    <w:qFormat/>
    <w:pPr>
      <w:widowControl/>
      <w:suppressAutoHyphens w:val="true"/>
      <w:bidi w:val="0"/>
      <w:spacing w:before="0" w:after="0"/>
      <w:ind w:left="284" w:right="-284" w:hanging="0"/>
      <w:jc w:val="left"/>
    </w:pPr>
    <w:rPr>
      <w:rFonts w:ascii="Times New Roman" w:hAnsi="Times New Roman" w:eastAsia="Times New Roman" w:cs="Times New Roman"/>
      <w:color w:val="auto"/>
      <w:kern w:val="0"/>
      <w:sz w:val="28"/>
      <w:szCs w:val="24"/>
      <w:lang w:val="lv-LV" w:eastAsia="en-US" w:bidi="ar-SA"/>
    </w:rPr>
  </w:style>
  <w:style w:type="paragraph" w:styleId="Revision1" w:customStyle="1">
    <w:name w:val="Revision1"/>
    <w:uiPriority w:val="99"/>
    <w:semiHidden/>
    <w:qFormat/>
    <w:pPr>
      <w:widowControl/>
      <w:suppressAutoHyphens w:val="true"/>
      <w:bidi w:val="0"/>
      <w:spacing w:before="0" w:after="0"/>
      <w:jc w:val="left"/>
    </w:pPr>
    <w:rPr>
      <w:rFonts w:ascii="Times New Roman" w:hAnsi="Times New Roman" w:eastAsia="Times New Roman" w:cs="Times New Roman"/>
      <w:color w:val="auto"/>
      <w:kern w:val="0"/>
      <w:sz w:val="28"/>
      <w:szCs w:val="24"/>
      <w:lang w:val="lv-LV" w:eastAsia="en-US" w:bidi="ar-SA"/>
    </w:rPr>
  </w:style>
  <w:style w:type="paragraph" w:styleId="ListParagraph">
    <w:name w:val="List Paragraph"/>
    <w:basedOn w:val="Normal"/>
    <w:link w:val="ListParagraphChar"/>
    <w:uiPriority w:val="0"/>
    <w:qFormat/>
    <w:pPr>
      <w:ind w:left="720" w:right="0" w:hanging="0"/>
    </w:pPr>
    <w:rPr>
      <w:rFonts w:ascii="Calibri" w:hAnsi="Calibri" w:eastAsia="Calibri"/>
      <w:sz w:val="22"/>
      <w:szCs w:val="22"/>
    </w:rPr>
  </w:style>
  <w:style w:type="paragraph" w:styleId="Default" w:customStyle="1">
    <w:name w:val="Default"/>
    <w:uiPriority w:val="99"/>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lv-LV" w:eastAsia="lv-LV" w:bidi="ar-SA"/>
    </w:rPr>
  </w:style>
  <w:style w:type="paragraph" w:styleId="Saturardtjs" w:customStyle="1">
    <w:name w:val="Satura rādītājs"/>
    <w:basedOn w:val="Normal"/>
    <w:uiPriority w:val="0"/>
    <w:qFormat/>
    <w:pPr>
      <w:suppressAutoHyphens w:val="true"/>
      <w:spacing w:lineRule="auto" w:line="276" w:before="0" w:after="200"/>
      <w:ind w:left="0" w:right="0" w:hanging="0"/>
    </w:pPr>
    <w:rPr>
      <w:rFonts w:ascii="Calibri" w:hAnsi="Calibri"/>
      <w:color w:val="00000A"/>
      <w:sz w:val="22"/>
      <w:szCs w:val="22"/>
      <w:lang w:eastAsia="lv-LV"/>
    </w:rPr>
  </w:style>
  <w:style w:type="paragraph" w:styleId="Tabulasvirsraksts" w:customStyle="1">
    <w:name w:val="Tabulas virsraksts"/>
    <w:basedOn w:val="Saturardtjs"/>
    <w:uiPriority w:val="0"/>
    <w:qFormat/>
    <w:pPr/>
    <w:rPr/>
  </w:style>
  <w:style w:type="paragraph" w:styleId="FrameContents" w:customStyle="1">
    <w:name w:val="Frame Contents"/>
    <w:basedOn w:val="Normal"/>
    <w:uiPriority w:val="0"/>
    <w:qFormat/>
    <w:pPr>
      <w:suppressAutoHyphens w:val="true"/>
      <w:spacing w:lineRule="auto" w:line="276" w:before="0" w:after="200"/>
      <w:ind w:left="0" w:right="0" w:hanging="0"/>
    </w:pPr>
    <w:rPr>
      <w:rFonts w:ascii="Calibri" w:hAnsi="Calibri"/>
      <w:color w:val="00000A"/>
      <w:sz w:val="22"/>
      <w:szCs w:val="22"/>
      <w:lang w:eastAsia="lv-LV"/>
    </w:rPr>
  </w:style>
  <w:style w:type="paragraph" w:styleId="HeadingJ1" w:customStyle="1">
    <w:name w:val="Heading J1"/>
    <w:basedOn w:val="Virsraksts4"/>
    <w:uiPriority w:val="99"/>
    <w:qFormat/>
    <w:pPr>
      <w:numPr>
        <w:ilvl w:val="0"/>
        <w:numId w:val="0"/>
      </w:numPr>
      <w:spacing w:before="0" w:after="60"/>
      <w:ind w:left="0" w:right="0" w:hanging="0"/>
      <w:jc w:val="left"/>
    </w:pPr>
    <w:rPr>
      <w:b/>
      <w:i/>
      <w:iCs w:val="false"/>
      <w:szCs w:val="20"/>
    </w:rPr>
  </w:style>
  <w:style w:type="paragraph" w:styleId="Teksts1" w:customStyle="1">
    <w:name w:val="Teksts1"/>
    <w:basedOn w:val="Normal"/>
    <w:uiPriority w:val="99"/>
    <w:qFormat/>
    <w:pPr>
      <w:spacing w:before="0" w:after="320"/>
      <w:ind w:left="0" w:right="0" w:firstLine="567"/>
      <w:jc w:val="both"/>
    </w:pPr>
    <w:rPr>
      <w:rFonts w:ascii="BaltTimes" w:hAnsi="BaltTimes"/>
      <w:sz w:val="24"/>
      <w:szCs w:val="20"/>
      <w:lang w:val="en-US"/>
    </w:rPr>
  </w:style>
  <w:style w:type="paragraph" w:styleId="Xl28" w:customStyle="1">
    <w:name w:val="xl28"/>
    <w:basedOn w:val="Normal"/>
    <w:uiPriority w:val="99"/>
    <w:qFormat/>
    <w:pPr>
      <w:pBdr>
        <w:right w:val="single" w:sz="6" w:space="0" w:color="000000"/>
      </w:pBdr>
      <w:spacing w:before="100" w:after="100"/>
      <w:ind w:left="0" w:right="0" w:hanging="0"/>
    </w:pPr>
    <w:rPr>
      <w:rFonts w:ascii="Arial" w:hAnsi="Arial"/>
      <w:szCs w:val="20"/>
      <w:lang w:val="en-GB" w:eastAsia="lv-LV"/>
    </w:rPr>
  </w:style>
  <w:style w:type="paragraph" w:styleId="Xl70" w:customStyle="1">
    <w:name w:val="xl70"/>
    <w:basedOn w:val="Normal"/>
    <w:uiPriority w:val="99"/>
    <w:qFormat/>
    <w:pPr>
      <w:overflowPunct w:val="false"/>
      <w:spacing w:before="100" w:after="100"/>
      <w:ind w:left="0" w:right="0" w:hanging="0"/>
      <w:textAlignment w:val="baseline"/>
    </w:pPr>
    <w:rPr>
      <w:rFonts w:ascii="Arial" w:hAnsi="Arial"/>
      <w:sz w:val="24"/>
      <w:szCs w:val="20"/>
      <w:lang w:eastAsia="lv-LV"/>
    </w:rPr>
  </w:style>
  <w:style w:type="paragraph" w:styleId="Style6" w:customStyle="1">
    <w:name w:val="Style6"/>
    <w:basedOn w:val="Normal"/>
    <w:uiPriority w:val="99"/>
    <w:qFormat/>
    <w:pPr>
      <w:widowControl w:val="false"/>
      <w:spacing w:lineRule="exact" w:line="278"/>
      <w:ind w:left="0" w:right="0" w:hanging="0"/>
    </w:pPr>
    <w:rPr>
      <w:sz w:val="24"/>
      <w:lang w:val="en-US"/>
    </w:rPr>
  </w:style>
  <w:style w:type="paragraph" w:styleId="Style9" w:customStyle="1">
    <w:name w:val="Style9"/>
    <w:basedOn w:val="Normal"/>
    <w:uiPriority w:val="99"/>
    <w:qFormat/>
    <w:pPr>
      <w:widowControl w:val="false"/>
      <w:spacing w:lineRule="exact" w:line="269"/>
      <w:ind w:left="0" w:right="0" w:hanging="0"/>
    </w:pPr>
    <w:rPr>
      <w:sz w:val="24"/>
      <w:lang w:val="en-US"/>
    </w:rPr>
  </w:style>
  <w:style w:type="paragraph" w:styleId="BodyText21" w:customStyle="1">
    <w:name w:val="Body Text2"/>
    <w:basedOn w:val="Normal"/>
    <w:uiPriority w:val="0"/>
    <w:qFormat/>
    <w:pPr>
      <w:widowControl w:val="false"/>
      <w:shd w:val="clear" w:color="auto" w:fill="FFFFFF"/>
      <w:spacing w:lineRule="atLeast" w:line="0" w:before="300" w:after="420"/>
      <w:ind w:left="0" w:right="0" w:hanging="0"/>
      <w:jc w:val="center"/>
    </w:pPr>
    <w:rPr>
      <w:color w:val="000000"/>
      <w:sz w:val="25"/>
      <w:szCs w:val="25"/>
      <w:lang w:eastAsia="lv-LV"/>
    </w:rPr>
  </w:style>
  <w:style w:type="paragraph" w:styleId="Bodytext51" w:customStyle="1">
    <w:name w:val="Body text (5)"/>
    <w:basedOn w:val="Normal"/>
    <w:link w:val="Bodytext5"/>
    <w:uiPriority w:val="0"/>
    <w:qFormat/>
    <w:pPr>
      <w:widowControl w:val="false"/>
      <w:shd w:val="clear" w:color="auto" w:fill="FFFFFF"/>
      <w:spacing w:lineRule="atLeast" w:line="0" w:before="240" w:after="60"/>
      <w:ind w:left="0" w:right="0" w:hanging="0"/>
      <w:jc w:val="center"/>
    </w:pPr>
    <w:rPr>
      <w:b/>
      <w:bCs/>
      <w:sz w:val="25"/>
      <w:szCs w:val="25"/>
    </w:rPr>
  </w:style>
  <w:style w:type="paragraph" w:styleId="Style11" w:customStyle="1">
    <w:name w:val="Style1"/>
    <w:basedOn w:val="Normal"/>
    <w:uiPriority w:val="0"/>
    <w:qFormat/>
    <w:pPr>
      <w:widowControl w:val="false"/>
      <w:ind w:left="0" w:right="0" w:hanging="0"/>
      <w:jc w:val="both"/>
    </w:pPr>
    <w:rPr>
      <w:sz w:val="24"/>
      <w:szCs w:val="20"/>
      <w:lang w:val="en-US"/>
    </w:rPr>
  </w:style>
  <w:style w:type="paragraph" w:styleId="FR1" w:customStyle="1">
    <w:name w:val="FR1"/>
    <w:uiPriority w:val="0"/>
    <w:qFormat/>
    <w:pPr>
      <w:widowControl w:val="false"/>
      <w:suppressAutoHyphens w:val="true"/>
      <w:bidi w:val="0"/>
      <w:spacing w:before="0" w:after="0"/>
      <w:ind w:left="80" w:hanging="0"/>
      <w:jc w:val="center"/>
    </w:pPr>
    <w:rPr>
      <w:rFonts w:ascii="Times New Roman" w:hAnsi="Times New Roman" w:eastAsia="Times New Roman" w:cs="Times New Roman"/>
      <w:b/>
      <w:bCs/>
      <w:color w:val="auto"/>
      <w:kern w:val="0"/>
      <w:sz w:val="36"/>
      <w:szCs w:val="36"/>
      <w:lang w:val="lv-LV" w:eastAsia="en-US" w:bidi="ar-SA"/>
    </w:rPr>
  </w:style>
  <w:style w:type="paragraph" w:styleId="Tv2132" w:customStyle="1">
    <w:name w:val="tv2132"/>
    <w:basedOn w:val="Normal"/>
    <w:uiPriority w:val="0"/>
    <w:qFormat/>
    <w:pPr>
      <w:spacing w:lineRule="auto" w:line="360"/>
      <w:ind w:left="0" w:right="0" w:firstLine="335"/>
    </w:pPr>
    <w:rPr>
      <w:color w:val="414142"/>
      <w:sz w:val="22"/>
      <w:szCs w:val="22"/>
      <w:lang w:eastAsia="lv-LV"/>
    </w:rPr>
  </w:style>
  <w:style w:type="paragraph" w:styleId="Tv213" w:customStyle="1">
    <w:name w:val="tv213"/>
    <w:basedOn w:val="Normal"/>
    <w:uiPriority w:val="0"/>
    <w:qFormat/>
    <w:pPr>
      <w:spacing w:beforeAutospacing="1" w:afterAutospacing="1"/>
      <w:ind w:left="0" w:right="0" w:hanging="0"/>
    </w:pPr>
    <w:rPr>
      <w:sz w:val="24"/>
      <w:lang w:eastAsia="lv-LV"/>
    </w:rPr>
  </w:style>
  <w:style w:type="paragraph" w:styleId="Labojumupamats" w:customStyle="1">
    <w:name w:val="labojumu_pamats"/>
    <w:basedOn w:val="Normal"/>
    <w:uiPriority w:val="0"/>
    <w:qFormat/>
    <w:pPr>
      <w:spacing w:beforeAutospacing="1" w:afterAutospacing="1"/>
      <w:ind w:left="0" w:right="0" w:hanging="0"/>
    </w:pPr>
    <w:rPr>
      <w:sz w:val="24"/>
      <w:lang w:eastAsia="lv-LV"/>
    </w:rPr>
  </w:style>
  <w:style w:type="paragraph" w:styleId="Punkts11" w:customStyle="1">
    <w:name w:val="Punkts 1.1"/>
    <w:basedOn w:val="ListParagraph"/>
    <w:link w:val="Punkts11Char"/>
    <w:uiPriority w:val="0"/>
    <w:qFormat/>
    <w:pPr>
      <w:numPr>
        <w:ilvl w:val="1"/>
        <w:numId w:val="2"/>
      </w:numPr>
      <w:spacing w:before="60" w:after="60"/>
      <w:jc w:val="both"/>
    </w:pPr>
    <w:rPr>
      <w:rFonts w:ascii="Times New Roman" w:hAnsi="Times New Roman" w:eastAsia="Times New Roman"/>
      <w:bCs/>
      <w:sz w:val="24"/>
      <w:szCs w:val="24"/>
      <w:lang w:eastAsia="lv-LV"/>
    </w:rPr>
  </w:style>
  <w:style w:type="paragraph" w:styleId="Punkts111" w:customStyle="1">
    <w:name w:val="Punkts 1.1.1"/>
    <w:basedOn w:val="Normal"/>
    <w:link w:val="Punkts111Char"/>
    <w:uiPriority w:val="0"/>
    <w:qFormat/>
    <w:pPr>
      <w:numPr>
        <w:ilvl w:val="2"/>
        <w:numId w:val="2"/>
      </w:numPr>
      <w:ind w:left="1418" w:right="-1" w:hanging="709"/>
      <w:jc w:val="both"/>
    </w:pPr>
    <w:rPr>
      <w:sz w:val="24"/>
    </w:rPr>
  </w:style>
  <w:style w:type="paragraph" w:styleId="Tabulas1111" w:customStyle="1">
    <w:name w:val="Tabulas 1.1.1.1"/>
    <w:basedOn w:val="ListParagraph"/>
    <w:link w:val="Tabulas1111Char"/>
    <w:uiPriority w:val="0"/>
    <w:qFormat/>
    <w:pPr>
      <w:numPr>
        <w:ilvl w:val="3"/>
        <w:numId w:val="2"/>
      </w:numPr>
      <w:ind w:left="720" w:right="11" w:hanging="0"/>
      <w:jc w:val="both"/>
    </w:pPr>
    <w:rPr>
      <w:rFonts w:ascii="Times New Roman" w:hAnsi="Times New Roman" w:eastAsia="Times New Roman"/>
      <w:sz w:val="24"/>
      <w:szCs w:val="24"/>
      <w:lang w:eastAsia="lv-LV"/>
    </w:rPr>
  </w:style>
  <w:style w:type="paragraph" w:styleId="Punkts11111" w:customStyle="1">
    <w:name w:val="Punkts 1.1.1.1.1"/>
    <w:basedOn w:val="Normal"/>
    <w:uiPriority w:val="0"/>
    <w:qFormat/>
    <w:pPr>
      <w:numPr>
        <w:ilvl w:val="4"/>
        <w:numId w:val="2"/>
      </w:numPr>
      <w:ind w:left="284" w:right="11" w:hanging="0"/>
      <w:jc w:val="both"/>
    </w:pPr>
    <w:rPr>
      <w:color w:val="000000" w:themeColor="text1"/>
      <w:sz w:val="24"/>
      <w:lang w:eastAsia="lv-LV"/>
      <w14:textFill>
        <w14:solidFill>
          <w14:schemeClr w14:val="tx1"/>
        </w14:solidFill>
      </w14:textFill>
    </w:rPr>
  </w:style>
  <w:style w:type="paragraph" w:styleId="Ietvarasaturs">
    <w:name w:val="Ietvara saturs"/>
    <w:basedOn w:val="Normal"/>
    <w:qFormat/>
    <w:pPr/>
    <w:rPr/>
  </w:style>
  <w:style w:type="table" w:default="1" w:styleId="12">
    <w:name w:val="Normal Table"/>
    <w:uiPriority w:val="99"/>
    <w:semiHidden/>
    <w:unhideWhenUsed/>
    <w:qFormat/>
    <w:tblPr>
      <w:tblCellMar>
        <w:top w:w="0" w:type="dxa"/>
        <w:left w:w="108" w:type="dxa"/>
        <w:bottom w:w="0" w:type="dxa"/>
        <w:right w:w="108" w:type="dxa"/>
      </w:tblCellMar>
    </w:tblPr>
  </w:style>
  <w:style w:type="table" w:styleId="40">
    <w:name w:val="Table Grid"/>
    <w:basedOn w:val="12"/>
    <w:uiPriority w:val="5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
    <w:name w:val="Table Grid1"/>
    <w:basedOn w:val="12"/>
    <w:uiPriority w:val="0"/>
    <w:qFormat/>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
    <w:name w:val="TableGrid"/>
    <w:uiPriority w:val="0"/>
    <w:qFormat/>
    <w:rPr>
      <w:sz w:val="22"/>
      <w:szCs w:val="22"/>
    </w:rPr>
    <w:tblPr>
      <w:tblCellMar>
        <w:top w:w="0" w:type="dxa"/>
        <w:left w:w="0" w:type="dxa"/>
        <w:bottom w:w="0" w:type="dxa"/>
        <w:right w:w="0" w:type="dxa"/>
      </w:tblCellMar>
    </w:tblPr>
  </w:style>
  <w:style w:type="table" w:customStyle="1" w:styleId="113">
    <w:name w:val="Table Grid2"/>
    <w:basedOn w:val="12"/>
    <w:uiPriority w:val="59"/>
    <w:qFormat/>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
    <w:name w:val="Table Grid3"/>
    <w:basedOn w:val="12"/>
    <w:uiPriority w:val="59"/>
    <w:qFormat/>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
    <w:name w:val="Table Grid11"/>
    <w:basedOn w:val="12"/>
    <w:uiPriority w:val="5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Table Grid4"/>
    <w:basedOn w:val="12"/>
    <w:uiPriority w:val="59"/>
    <w:qFormat/>
    <w:pPr>
      <w:spacing w:before="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Relationship Id="rId13"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8C8A534A092FE842A8C748B6D9A05B39" ma:contentTypeVersion="0" ma:contentTypeDescription="Izveidot jaunu dokumentu." ma:contentTypeScope="" ma:versionID="83eea809f5080a07b5932c027ca91dc1">
  <xsd:schema xmlns:xsd="http://www.w3.org/2001/XMLSchema" xmlns:xs="http://www.w3.org/2001/XMLSchema" xmlns:p="http://schemas.microsoft.com/office/2006/metadata/properties" targetNamespace="http://schemas.microsoft.com/office/2006/metadata/properties" ma:root="true" ma:fieldsID="e4db33db44e48f8f107466a912c3a54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D4A41-6C7E-4B3F-93CC-6F7F0895133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BCC6D4-FA32-45C7-B7C2-4C196ABEFA23}">
  <ds:schemaRefs/>
</ds:datastoreItem>
</file>

<file path=customXml/itemProps4.xml><?xml version="1.0" encoding="utf-8"?>
<ds:datastoreItem xmlns:ds="http://schemas.openxmlformats.org/officeDocument/2006/customXml" ds:itemID="{5DF6EE62-9B61-4B0D-BAD2-5E1C282B5C9F}">
  <ds:schemaRefs/>
</ds:datastoreItem>
</file>

<file path=customXml/itemProps5.xml><?xml version="1.0" encoding="utf-8"?>
<ds:datastoreItem xmlns:ds="http://schemas.openxmlformats.org/officeDocument/2006/customXml" ds:itemID="{2A17CEC7-83CB-4178-B042-73C1990AE1B2}">
  <ds:schemaRefs/>
</ds:datastoreItem>
</file>

<file path=docProps/app.xml><?xml version="1.0" encoding="utf-8"?>
<Properties xmlns="http://schemas.openxmlformats.org/officeDocument/2006/extended-properties" xmlns:vt="http://schemas.openxmlformats.org/officeDocument/2006/docPropsVTypes">
  <Template>Normal</Template>
  <TotalTime>119</TotalTime>
  <Application>LibreOffice/7.3.2.2$Windows_X86_64 LibreOffice_project/49f2b1bff42cfccbd8f788c8dc32c1c309559be0</Application>
  <AppVersion>15.0000</AppVersion>
  <Pages>9</Pages>
  <Words>3939</Words>
  <Characters>29077</Characters>
  <CharactersWithSpaces>32778</CharactersWithSpaces>
  <Paragraphs>196</Paragraphs>
  <Company>Valsts ieņēmumu dienests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2021-08-03T06:42:00Z</dcterms:created>
  <dc:creator>Ginta Valdmane</dc:creator>
  <dc:description/>
  <dc:language>lv-LV</dc:language>
  <cp:lastModifiedBy/>
  <cp:lastPrinted>2021-08-02T08:59:00Z</cp:lastPrinted>
  <dcterms:modified xsi:type="dcterms:W3CDTF">2026-06-05T12:40:41Z</dcterms:modified>
  <cp:revision>26</cp:revision>
  <dc:subject/>
  <dc:title>APSTIPRINĀTS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0x0101008C8A534A092FE842A8C748B6D9A05B39</vt:lpwstr>
  </property>
  <property fmtid="{D5CDD505-2E9C-101B-9397-08002B2CF9AE}" pid="3" name="KSOProductBuildVer">
    <vt:lpwstr>1033-11.2.0.10223</vt:lpwstr>
  </property>
</Properties>
</file>